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Estilos Globales — ASSIP‑ERP</w:t>
      </w:r>
    </w:p>
    <w:p>
      <w:r>
        <w:t>Este documento describe la estructura, propósito y lineamientos del sistema de estilos globales del ERP ASSIP‑ERP. Su objetivo es asegurar uniformidad visual en todos los módulos (General, Hoja de Vida, Contabilidad, etc.) del frontend Angular.</w:t>
      </w:r>
    </w:p>
    <w:p>
      <w:pPr>
        <w:pStyle w:val="Heading2"/>
      </w:pPr>
      <w:r>
        <w:t>1. Arquitectura de Estilos Globales</w:t>
      </w:r>
    </w:p>
    <w:p>
      <w:r>
        <w:t>El sistema utiliza Sass (SCSS) modular con el estándar moderno `@use`. Todos los estilos globales se encuentran en la carpeta `src/styles/`. Desde el archivo principal `styles.scss` se importan los siguientes módulos:</w:t>
      </w:r>
    </w:p>
    <w:p>
      <w:r>
        <w:t>- tokens.scss → Variables de color, tipografía, tamaños.</w:t>
        <w:br/>
        <w:t>- base.scss → Estilos de texto, encabezados, enlaces, tablas.</w:t>
        <w:br/>
        <w:t>- layout.scss → Estructura de layout, márgenes, contenedores.</w:t>
        <w:br/>
        <w:t>- buttons.scss → Estilos y variaciones de botones.</w:t>
        <w:br/>
        <w:t>- forms.scss → Sistema unificado de formularios (nuevo desde 2025‑10).</w:t>
      </w:r>
    </w:p>
    <w:p>
      <w:pPr>
        <w:pStyle w:val="Heading2"/>
      </w:pPr>
      <w:r>
        <w:t>2. Archivo Principal: styles.scss</w:t>
      </w:r>
    </w:p>
    <w:p>
      <w:r>
        <w:t>Este archivo centraliza todas las importaciones y define la configuración base de tipografía y colores. Utiliza `@use` en lugar de `@import` para compatibilidad futura con Dart Sass 3.0.0. También configura íconos Material globales para uso consistente.</w:t>
      </w:r>
    </w:p>
    <w:p>
      <w:pPr>
        <w:pStyle w:val="Heading2"/>
      </w:pPr>
      <w:r>
        <w:t>3. forms.scss — Estandarización de Formularios</w:t>
      </w:r>
    </w:p>
    <w:p>
      <w:r>
        <w:t>Este módulo es clave para la coherencia visual en formularios CRUD (Agencias, Zonas, Hoja de Vida, etc.). Define espaciado, fuentes, colores de bordes, y estructura de grid adaptable.</w:t>
      </w:r>
    </w:p>
    <w:p>
      <w:r>
        <w:t>Clases principales incluidas:</w:t>
        <w:br/>
        <w:t>• .form-container → Contenedor visual con fondo blanco y sombra sutil.</w:t>
        <w:br/>
        <w:t>• .form-grid → Sistema responsive basado en `grid-template-columns`.</w:t>
        <w:br/>
        <w:t>• .form-group → Agrupa label + campo, aplica fuentes uniformes y validaciones.</w:t>
        <w:br/>
        <w:t>• .form-actions → Distribuye botones de acción con separación coherente.</w:t>
      </w:r>
    </w:p>
    <w:p>
      <w:pPr>
        <w:pStyle w:val="Heading2"/>
      </w:pPr>
      <w:r>
        <w:t>4. Uso en Componentes CRUD</w:t>
      </w:r>
    </w:p>
    <w:p>
      <w:r>
        <w:t>Cada componente de formulario (por ejemplo `agencia-upsert` o `zona-upsert`) debe aplicar estas clases globales en lugar de definir estilos locales duplicados. De esta forma, los formularios conservan el mismo padding, tipografía, colores y jerarquía visual.</w:t>
      </w:r>
    </w:p>
    <w:p>
      <w:r>
        <w:t>Ejemplo estructural recomendado:</w:t>
        <w:br/>
        <w:br/>
        <w:t>&lt;div class='form-container'&gt;</w:t>
        <w:br/>
        <w:t xml:space="preserve">  &lt;h5&gt;{{ id ? 'editar agencia' : 'nueva agencia' }}&lt;/h5&gt;</w:t>
        <w:br/>
        <w:t xml:space="preserve">  &lt;form class='form-grid'&gt;</w:t>
        <w:br/>
        <w:t xml:space="preserve">    &lt;div class='form-group sm'&gt;...&lt;/div&gt;</w:t>
        <w:br/>
        <w:t xml:space="preserve">    &lt;div class='form-group full'&gt;...&lt;/div&gt;</w:t>
        <w:br/>
        <w:t xml:space="preserve">    &lt;div class='form-actions full'&gt;...&lt;/div&gt;</w:t>
        <w:br/>
        <w:t xml:space="preserve">  &lt;/form&gt;</w:t>
        <w:br/>
        <w:t>&lt;/div&gt;</w:t>
      </w:r>
    </w:p>
    <w:p>
      <w:pPr>
        <w:pStyle w:val="Heading2"/>
      </w:pPr>
      <w:r>
        <w:t>5. Ventajas del Sistema Global</w:t>
      </w:r>
    </w:p>
    <w:p>
      <w:r>
        <w:t>- Uniformidad completa en todos los formularios.</w:t>
        <w:br/>
        <w:t>- Reducción de código repetido en cada CRUD.</w:t>
        <w:br/>
        <w:t>- Ajustes de diseño globales centralizados.</w:t>
        <w:br/>
        <w:t>- Escalabilidad para nuevos módulos o temas visuales.</w:t>
        <w:br/>
        <w:t>- Facilita mantenimiento y consistencia visual a largo plazo.</w:t>
      </w:r>
    </w:p>
    <w:p>
      <w:pPr>
        <w:pStyle w:val="Heading2"/>
      </w:pPr>
      <w:r>
        <w:t>6. Guía de Adaptación</w:t>
      </w:r>
    </w:p>
    <w:p>
      <w:r>
        <w:t>Para adaptar un módulo existente (por ejemplo, Zonas):</w:t>
        <w:br/>
        <w:t>1. Eliminar estilos SCSS locales innecesarios.</w:t>
        <w:br/>
        <w:t>2. Aplicar clases globales (`form-container`, `form-group`, etc.) en el HTML.</w:t>
        <w:br/>
        <w:t>3. Validar que el archivo `styles/forms.scss` esté importado desde `styles.scss`.</w:t>
        <w:br/>
        <w:t>4. Probar responsividad en pantallas pequeñas (&lt;768px).</w:t>
      </w:r>
    </w:p>
    <w:p>
      <w:pPr>
        <w:pStyle w:val="Heading2"/>
      </w:pPr>
      <w:r>
        <w:t>7. Conclusión</w:t>
      </w:r>
    </w:p>
    <w:p>
      <w:r>
        <w:t>El uso global de `styles/forms.scss` unifica la experiencia visual y mantiene el estándar profesional del ERP ASSIP‑ERP, evitando estilos rígidos o inconsistentes entre módulos. Su aplicación sistemática permite escalar el sistema sin pérdida de identidad visual ni duplicación de esfuerzos.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