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Documentación Técnica — Migraciones de Base de Datos ASSIP‑ERP</w:t>
      </w:r>
    </w:p>
    <w:p>
      <w:r>
        <w:t>Este documento describe la secuencia de migraciones aplicadas al sistema ASSIP‑ERP en su módulo de base de datos PostgreSQL, incluyendo las fases automatizadas gestionadas por Flyway y las cargas manuales ejecutadas directamente en pgAdmin.</w:t>
      </w:r>
    </w:p>
    <w:p>
      <w:pPr>
        <w:pStyle w:val="Heading2"/>
      </w:pPr>
      <w:r>
        <w:t>1. Información general</w:t>
      </w:r>
    </w:p>
    <w:p>
      <w:r>
        <w:t>Base de datos: assip_erp</w:t>
      </w:r>
    </w:p>
    <w:p>
      <w:r>
        <w:t>Motor: PostgreSQL 15+</w:t>
      </w:r>
    </w:p>
    <w:p>
      <w:r>
        <w:t>Gestor de migraciones: Flyway (integrado en Spring Boot)</w:t>
      </w:r>
    </w:p>
    <w:p>
      <w:r>
        <w:t>Ubicación de scripts: src/main/resources/db/migration</w:t>
      </w:r>
    </w:p>
    <w:p>
      <w:r>
        <w:t>Fecha de consolidación: 24/10/2025 12:23</w:t>
      </w:r>
    </w:p>
    <w:p>
      <w:pPr>
        <w:pStyle w:val="Heading2"/>
      </w:pPr>
      <w:r>
        <w:t>2. Migraciones aplicadas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Versión</w:t>
            </w:r>
          </w:p>
        </w:tc>
        <w:tc>
          <w:tcPr>
            <w:tcW w:type="dxa" w:w="2160"/>
          </w:tcPr>
          <w:p>
            <w:r>
              <w:t>Archivo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</w:tr>
      <w:tr>
        <w:tc>
          <w:tcPr>
            <w:tcW w:type="dxa" w:w="2160"/>
          </w:tcPr>
          <w:p>
            <w:r>
              <w:t>V001</w:t>
            </w:r>
          </w:p>
        </w:tc>
        <w:tc>
          <w:tcPr>
            <w:tcW w:type="dxa" w:w="2160"/>
          </w:tcPr>
          <w:p>
            <w:r>
              <w:t>V001__init_schemas.sql</w:t>
            </w:r>
          </w:p>
        </w:tc>
        <w:tc>
          <w:tcPr>
            <w:tcW w:type="dxa" w:w="2160"/>
          </w:tcPr>
          <w:p>
            <w:r>
              <w:t>Creación de esquemas base (seguridad, catalogos, general, hoja_vida)</w:t>
            </w:r>
          </w:p>
        </w:tc>
        <w:tc>
          <w:tcPr>
            <w:tcW w:type="dxa" w:w="2160"/>
          </w:tcPr>
          <w:p>
            <w:r>
              <w:t>Aplicada</w:t>
            </w:r>
          </w:p>
        </w:tc>
      </w:tr>
      <w:tr>
        <w:tc>
          <w:tcPr>
            <w:tcW w:type="dxa" w:w="2160"/>
          </w:tcPr>
          <w:p>
            <w:r>
              <w:t>V002</w:t>
            </w:r>
          </w:p>
        </w:tc>
        <w:tc>
          <w:tcPr>
            <w:tcW w:type="dxa" w:w="2160"/>
          </w:tcPr>
          <w:p>
            <w:r>
              <w:t>V002__seguridad.sql</w:t>
            </w:r>
          </w:p>
        </w:tc>
        <w:tc>
          <w:tcPr>
            <w:tcW w:type="dxa" w:w="2160"/>
          </w:tcPr>
          <w:p>
            <w:r>
              <w:t>Tablas de usuarios, roles, permisos y log_evento</w:t>
            </w:r>
          </w:p>
        </w:tc>
        <w:tc>
          <w:tcPr>
            <w:tcW w:type="dxa" w:w="2160"/>
          </w:tcPr>
          <w:p>
            <w:r>
              <w:t>Aplicada</w:t>
            </w:r>
          </w:p>
        </w:tc>
      </w:tr>
      <w:tr>
        <w:tc>
          <w:tcPr>
            <w:tcW w:type="dxa" w:w="2160"/>
          </w:tcPr>
          <w:p>
            <w:r>
              <w:t>V003</w:t>
            </w:r>
          </w:p>
        </w:tc>
        <w:tc>
          <w:tcPr>
            <w:tcW w:type="dxa" w:w="2160"/>
          </w:tcPr>
          <w:p>
            <w:r>
              <w:t>V003__seguridad_roles_permisos.sql</w:t>
            </w:r>
          </w:p>
        </w:tc>
        <w:tc>
          <w:tcPr>
            <w:tcW w:type="dxa" w:w="2160"/>
          </w:tcPr>
          <w:p>
            <w:r>
              <w:t>Inserciones iniciales de roles y permisos</w:t>
            </w:r>
          </w:p>
        </w:tc>
        <w:tc>
          <w:tcPr>
            <w:tcW w:type="dxa" w:w="2160"/>
          </w:tcPr>
          <w:p>
            <w:r>
              <w:t>Aplicada</w:t>
            </w:r>
          </w:p>
        </w:tc>
      </w:tr>
      <w:tr>
        <w:tc>
          <w:tcPr>
            <w:tcW w:type="dxa" w:w="2160"/>
          </w:tcPr>
          <w:p>
            <w:r>
              <w:t>V004</w:t>
            </w:r>
          </w:p>
        </w:tc>
        <w:tc>
          <w:tcPr>
            <w:tcW w:type="dxa" w:w="2160"/>
          </w:tcPr>
          <w:p>
            <w:r>
              <w:t>V004__estructura_inicial.sql</w:t>
            </w:r>
          </w:p>
        </w:tc>
        <w:tc>
          <w:tcPr>
            <w:tcW w:type="dxa" w:w="2160"/>
          </w:tcPr>
          <w:p>
            <w:r>
              <w:t>Definición completa de estructuras de catálogos, general y hoja_vida</w:t>
            </w:r>
          </w:p>
        </w:tc>
        <w:tc>
          <w:tcPr>
            <w:tcW w:type="dxa" w:w="2160"/>
          </w:tcPr>
          <w:p>
            <w:r>
              <w:t>Aplicada</w:t>
            </w:r>
          </w:p>
        </w:tc>
      </w:tr>
      <w:tr>
        <w:tc>
          <w:tcPr>
            <w:tcW w:type="dxa" w:w="2160"/>
          </w:tcPr>
          <w:p>
            <w:r>
              <w:t>V005</w:t>
            </w:r>
          </w:p>
        </w:tc>
        <w:tc>
          <w:tcPr>
            <w:tcW w:type="dxa" w:w="2160"/>
          </w:tcPr>
          <w:p>
            <w:r>
              <w:t>V005__migracion_catalogos_1.sql</w:t>
            </w:r>
          </w:p>
        </w:tc>
        <w:tc>
          <w:tcPr>
            <w:tcW w:type="dxa" w:w="2160"/>
          </w:tcPr>
          <w:p>
            <w:r>
              <w:t>Carga masiva inicial de catálogos</w:t>
            </w:r>
          </w:p>
        </w:tc>
        <w:tc>
          <w:tcPr>
            <w:tcW w:type="dxa" w:w="2160"/>
          </w:tcPr>
          <w:p>
            <w:r>
              <w:t>Aplicada</w:t>
            </w:r>
          </w:p>
        </w:tc>
      </w:tr>
      <w:tr>
        <w:tc>
          <w:tcPr>
            <w:tcW w:type="dxa" w:w="2160"/>
          </w:tcPr>
          <w:p>
            <w:r>
              <w:t>V006</w:t>
            </w:r>
          </w:p>
        </w:tc>
        <w:tc>
          <w:tcPr>
            <w:tcW w:type="dxa" w:w="2160"/>
          </w:tcPr>
          <w:p>
            <w:r>
              <w:t>V006__migracion_catalogos_2.sql</w:t>
            </w:r>
          </w:p>
        </w:tc>
        <w:tc>
          <w:tcPr>
            <w:tcW w:type="dxa" w:w="2160"/>
          </w:tcPr>
          <w:p>
            <w:r>
              <w:t>Carga complementaria de catálogos</w:t>
            </w:r>
          </w:p>
        </w:tc>
        <w:tc>
          <w:tcPr>
            <w:tcW w:type="dxa" w:w="2160"/>
          </w:tcPr>
          <w:p>
            <w:r>
              <w:t>Aplicada</w:t>
            </w:r>
          </w:p>
        </w:tc>
      </w:tr>
      <w:tr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Carga inicial de zonas y subzonas</w:t>
            </w:r>
          </w:p>
        </w:tc>
        <w:tc>
          <w:tcPr>
            <w:tcW w:type="dxa" w:w="2160"/>
          </w:tcPr>
          <w:p>
            <w:r>
              <w:t>Ejecución directa en pgAdmin (INSERT sobre general.zonas y general.sub_zonas)</w:t>
            </w:r>
          </w:p>
        </w:tc>
        <w:tc>
          <w:tcPr>
            <w:tcW w:type="dxa" w:w="2160"/>
          </w:tcPr>
          <w:p>
            <w:r>
              <w:t>Aplicada (manual)</w:t>
            </w:r>
          </w:p>
        </w:tc>
      </w:tr>
    </w:tbl>
    <w:p>
      <w:pPr>
        <w:pStyle w:val="Heading2"/>
      </w:pPr>
      <w:r>
        <w:t>3. Carga manual en PostgreSQL</w:t>
      </w:r>
    </w:p>
    <w:p>
      <w:r>
        <w:t>Debido a restricciones de dependencias y llaves foráneas durante la ejecución automática, la carga de las tablas `general.zonas` y `general.sub_zonas` se realizó manualmente en pgAdmin. El proceso consistió en tres fases:</w:t>
      </w:r>
    </w:p>
    <w:p>
      <w:r>
        <w:t>1️⃣ Verificación de existencia de las tablas en el esquema general (`\dt general.*`)</w:t>
      </w:r>
    </w:p>
    <w:p>
      <w:r>
        <w:t>2️⃣ Inserción de usuario base con ID=1 en `seguridad.usuarios` para auditoría</w:t>
      </w:r>
    </w:p>
    <w:p>
      <w:r>
        <w:t>3️⃣ Inserción de registros de zonas y subzonas con claves de auditoría (1,1)</w:t>
      </w:r>
    </w:p>
    <w:p>
      <w:pPr>
        <w:pStyle w:val="Heading2"/>
      </w:pPr>
      <w:r>
        <w:t>4. Fragmento de SQL ejecutado manualmente</w:t>
      </w:r>
    </w:p>
    <w:p>
      <w:r>
        <w:t>INSERT INTO general.zonas (codigo_zona, nombre_zona, comentario_zona, fk_seguridad_creacion, fk_seguridad_edicion)</w:t>
        <w:br/>
        <w:t>VALUES ('001','MONCHIA','VALLE SAN JOSE',1,1), ('002','ORIENTAL','VALLE SAN JOSE',1,1), ...;</w:t>
        <w:br/>
        <w:br/>
        <w:t>INSERT INTO general.sub_zonas (id_zona, codigo_sub_zona, nombre_sub_zona, comentario_sub_zona, fk_seguridad_creacion, fk_seguridad_edicion)</w:t>
        <w:br/>
        <w:t>VALUES (1,'001','SAN ANTONIO','',1,1), (1,'002','SANTA LUCIA','',1,1), ...;</w:t>
      </w:r>
    </w:p>
    <w:p>
      <w:pPr>
        <w:pStyle w:val="Heading2"/>
      </w:pPr>
      <w:r>
        <w:t>5. Resultados finales</w:t>
      </w:r>
    </w:p>
    <w:p>
      <w:r>
        <w:t>Tras la ejecución de las migraciones y las inserciones manuales, se verificó con éxito la existencia de los esquemas `seguridad`, `catalogos`, `general` y `hoja_vida`, así como las tablas:</w:t>
        <w:br/>
        <w:t>- general.zonas (11 registros)</w:t>
        <w:br/>
        <w:t>- general.sub_zonas (31 registros)</w:t>
        <w:br/>
        <w:br/>
        <w:t>El sistema backend inició correctamente, confirmando la estabilidad de la estructura de datos.</w:t>
      </w:r>
    </w:p>
    <w:p>
      <w:pPr>
        <w:pStyle w:val="Heading2"/>
      </w:pPr>
      <w:r>
        <w:t>6. Observaciones</w:t>
      </w:r>
    </w:p>
    <w:p>
      <w:r>
        <w:t>• A partir de este punto, todas las migraciones nuevas deben numerarse a partir de V007__*.sql.</w:t>
        <w:br/>
        <w:t>• Si se realizan cargas manuales futuras, deben documentarse con inserciones equivalentes en `flyway_schema_history`.</w:t>
        <w:br/>
        <w:t>• El entorno Flyway se encuentra sincronizado hasta la versión V006.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