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Documento Técnico — CRUD de Financieros / Económicos</w:t>
      </w:r>
    </w:p>
    <w:p>
      <w:r>
        <w:br/>
        <w:t>Este documento describe la estructura, estilos y funcionalidad del CRUD de Financieros (Hoja de Vida),</w:t>
        <w:br/>
        <w:t>dentro del sistema ERP ASSIP Solidaria y Financiera. Incluye la integración del formato numérico global</w:t>
        <w:br/>
        <w:t>y la estandarización del área de botones de acción.</w:t>
        <w:br/>
      </w:r>
    </w:p>
    <w:p>
      <w:pPr>
        <w:pStyle w:val="Heading2"/>
      </w:pPr>
      <w:r>
        <w:t>1. Estructura del Componente</w:t>
      </w:r>
    </w:p>
    <w:p>
      <w:r>
        <w:t>📂 Ruta: src/app/features/hoja-vida/financieros/financieros-upsert.component.*</w:t>
      </w:r>
    </w:p>
    <w:p>
      <w:r>
        <w:br/>
        <w:t>El componente permite registrar, editar y visualizar información financiera del afiliado.</w:t>
        <w:br/>
        <w:t>Incluye campos con formato numérico unificado mediante la directiva `numericFormat`.</w:t>
        <w:br/>
      </w:r>
    </w:p>
    <w:p>
      <w:pPr>
        <w:pStyle w:val="Heading2"/>
      </w:pPr>
      <w:r>
        <w:t>2. Integración con la Directiva numericFormat</w:t>
      </w:r>
    </w:p>
    <w:p>
      <w:r>
        <w:br/>
        <w:t>Los campos numéricos aplican automáticamente la directiva `[numericFormat]` para garantizar</w:t>
        <w:br/>
        <w:t>coherencia visual y consistencia de datos. Ejemplo de uso:</w:t>
        <w:br/>
      </w:r>
    </w:p>
    <w:p>
      <w:pPr/>
      <w:r>
        <w:t>&lt;input type="text" formControlName="ingresosMensuales" numericFormat /&gt;</w:t>
      </w:r>
    </w:p>
    <w:p>
      <w:pPr>
        <w:pStyle w:val="Heading2"/>
      </w:pPr>
      <w:r>
        <w:t>3. Estilos del Componente</w:t>
      </w:r>
    </w:p>
    <w:p>
      <w:r>
        <w:t>📂 Archivo: financieros-upsert.component.scss</w:t>
      </w:r>
    </w:p>
    <w:p>
      <w:r>
        <w:br/>
        <w:t>Los estilos definen estructura, disposición y diseño visual coherente con el sistema global.</w:t>
        <w:br/>
        <w:t>La sección de botones (`form-actions`) se unifica con `buttons.scss` para mantener consistencia en todo el ERP.</w:t>
        <w:br/>
      </w:r>
    </w:p>
    <w:p>
      <w:pPr>
        <w:pStyle w:val="Heading2"/>
      </w:pPr>
      <w:r>
        <w:t>4. Área de Botones — Unificada</w:t>
      </w:r>
    </w:p>
    <w:p>
      <w:r>
        <w:br/>
        <w:t>&lt;!-- 🟨 Acciones --&gt;</w:t>
        <w:br/>
        <w:t>&lt;div class="form-actions full"&gt;</w:t>
        <w:br/>
        <w:t xml:space="preserve">  &lt;button type="submit" class="btn sm primary" [disabled]="form.invalid"&gt;</w:t>
        <w:br/>
        <w:t xml:space="preserve">    💾 {{ editando ? 'actualizar' : 'guardar' }}</w:t>
        <w:br/>
        <w:t xml:space="preserve">  &lt;/button&gt;</w:t>
        <w:br/>
        <w:t xml:space="preserve">  &lt;button type="button" class="btn sm danger" (click)="volver()"&gt;</w:t>
        <w:br/>
        <w:t xml:space="preserve">    ↩️ cancelar</w:t>
        <w:br/>
        <w:t xml:space="preserve">  &lt;/button&gt;</w:t>
        <w:br/>
        <w:t>&lt;/div&gt;</w:t>
        <w:br/>
      </w:r>
    </w:p>
    <w:p>
      <w:pPr>
        <w:pStyle w:val="Heading2"/>
      </w:pPr>
      <w:r>
        <w:t>5. Estilo CSS Final</w:t>
      </w:r>
    </w:p>
    <w:p>
      <w:r>
        <w:br/>
        <w:t>Los botones se alinean a la derecha, con gradientes globales definidos en `buttons.scss`,</w:t>
        <w:br/>
        <w:t>manteniendo un diseño uniforme en todos los CRUDs del sistema.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