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Técnico — Estilos Globales ASSIP‑ERP</w:t>
      </w:r>
    </w:p>
    <w:p>
      <w:r>
        <w:br/>
        <w:t>Este documento describe la arquitectura, propósito y reglas de uso del sistema de estilos globales implementado en ASSIP‑ERP.</w:t>
        <w:br/>
        <w:t>El sistema está diseñado para mantener coherencia visual, modularidad y compatibilidad con Angular 17+ y Sass 3.0.</w:t>
        <w:br/>
      </w:r>
    </w:p>
    <w:p>
      <w:pPr>
        <w:pStyle w:val="Heading1"/>
      </w:pPr>
      <w:r>
        <w:t>1. Estructura General de Archivos</w:t>
      </w:r>
    </w:p>
    <w:p>
      <w:r>
        <w:br/>
        <w:t>Los estilos globales se dividen en módulos Sass dentro de la carpeta `/src/styles`:</w:t>
        <w:br/>
        <w:br/>
        <w:t>• tokens.scss — Define variables globales de diseño (colores, sombras, espaciado).</w:t>
        <w:br/>
        <w:t>• base.scss — Normaliza la estructura base del HTML y tipografía.</w:t>
        <w:br/>
        <w:t>• layout.scss — Contiene la estructura visual general de los módulos.</w:t>
        <w:br/>
        <w:t>• buttons.scss — Gestiona el estilo y comportamiento de los botones globales.</w:t>
        <w:br/>
        <w:t>• styles.scss — Archivo raíz que integra todos los anteriores mediante `@use`.</w:t>
        <w:br/>
      </w:r>
    </w:p>
    <w:p>
      <w:pPr>
        <w:pStyle w:val="Heading1"/>
      </w:pPr>
      <w:r>
        <w:t>2. tokens.scss — Design Tokens Globales</w:t>
      </w:r>
    </w:p>
    <w:p>
      <w:r>
        <w:br/>
        <w:t xml:space="preserve">Este módulo define los valores universales de color, tipografía y espaciado. </w:t>
        <w:br/>
        <w:t>Todo cambio aquí se propaga automáticamente en los demás estilos del sistema.</w:t>
        <w:br/>
      </w:r>
    </w:p>
    <w:p>
      <w:r>
        <w:t>Ejemplo de estructura:</w:t>
      </w:r>
    </w:p>
    <w:p>
      <w:r>
        <w:br/>
        <w:t>$color-primary: #0f62fe;     // Azul institucional</w:t>
        <w:br/>
        <w:t>$color-success: #2e7d32;     // Verde confirmaciones</w:t>
        <w:br/>
        <w:t>$radius-md: 10px;            // Bordes medios</w:t>
        <w:br/>
        <w:t>$shadow-md: 0 4px 12px rgba(0,0,0,0.08);</w:t>
        <w:br/>
      </w:r>
    </w:p>
    <w:p>
      <w:pPr>
        <w:pStyle w:val="Heading1"/>
      </w:pPr>
      <w:r>
        <w:t>3. base.scss — Estilos Base</w:t>
      </w:r>
    </w:p>
    <w:p>
      <w:r>
        <w:br/>
        <w:t>Define las propiedades globales del HTML: color de fondo, tipografía, tamaños base, márgenes y normalización.</w:t>
        <w:br/>
        <w:t>Incluye el color general del texto y los estilos de encabezado (h1, h2, h3) con su jerarquía.</w:t>
        <w:br/>
        <w:t>Proporciona suavizado de fuentes y unifica el estilo de los enlaces y textos secundarios.</w:t>
        <w:br/>
      </w:r>
    </w:p>
    <w:p>
      <w:pPr>
        <w:pStyle w:val="Heading1"/>
      </w:pPr>
      <w:r>
        <w:t>4. layout.scss — Estructura Visual</w:t>
      </w:r>
    </w:p>
    <w:p>
      <w:r>
        <w:br/>
        <w:t>Define las estructuras visuales reutilizables como tarjetas, contenedores, cabeceras y toolbars.</w:t>
        <w:br/>
        <w:t>Incluye el sistema de grillas de 12 columnas usado en formularios (clases .field y .field-full).</w:t>
        <w:br/>
        <w:t>También establece reglas de espaciado coherentes con los tokens globales.</w:t>
        <w:br/>
      </w:r>
    </w:p>
    <w:p>
      <w:pPr>
        <w:pStyle w:val="Heading1"/>
      </w:pPr>
      <w:r>
        <w:t>5. buttons.scss — Sistema Global de Botones</w:t>
      </w:r>
    </w:p>
    <w:p>
      <w:r>
        <w:br/>
        <w:t>Gestiona el diseño y comportamiento de los botones en todas las pantallas del ERP.</w:t>
        <w:br/>
        <w:t>Incluye variantes por tipo de acción:</w:t>
        <w:br/>
        <w:t>• btn--primary — acción principal.</w:t>
        <w:br/>
        <w:t>• btn--new — creación de registros.</w:t>
        <w:br/>
        <w:t>• btn--edit — edición de registros.</w:t>
        <w:br/>
        <w:t>• btn--delete / btn--danger — eliminación.</w:t>
        <w:br/>
        <w:t>• btn--print — impresión.</w:t>
        <w:br/>
        <w:t>• btn--ghost — botón secundario transparente.</w:t>
        <w:br/>
        <w:br/>
        <w:t>Los botones mantienen el mismo tamaño, fuente y espaciado en todos los módulos.</w:t>
        <w:br/>
        <w:t>El modo impresión oculta automáticamente los botones.</w:t>
        <w:br/>
      </w:r>
    </w:p>
    <w:p>
      <w:pPr>
        <w:pStyle w:val="Heading1"/>
      </w:pPr>
      <w:r>
        <w:t>6. styles.scss — Punto de Entrada Global</w:t>
      </w:r>
    </w:p>
    <w:p>
      <w:r>
        <w:br/>
        <w:t>Centraliza la carga de todos los módulos Sass mediante `@use`.</w:t>
        <w:br/>
        <w:t>También activa el sistema de íconos globales de Material Symbols.</w:t>
        <w:br/>
        <w:t>Ejemplo:</w:t>
        <w:br/>
        <w:t>@use 'sass:color';</w:t>
        <w:br/>
        <w:t>@use './styles/tokens';</w:t>
        <w:br/>
        <w:t>@use './styles/base';</w:t>
        <w:br/>
        <w:t>@use './styles/layout';</w:t>
        <w:br/>
        <w:t>@use './styles/buttons';</w:t>
        <w:br/>
      </w:r>
    </w:p>
    <w:p>
      <w:pPr>
        <w:pStyle w:val="Heading1"/>
      </w:pPr>
      <w:r>
        <w:t>7. Configuración en angular.json</w:t>
      </w:r>
    </w:p>
    <w:p>
      <w:r>
        <w:br/>
        <w:t>Para garantizar que Angular compile correctamente los estilos globales, se debe incluir la siguiente configuración:</w:t>
        <w:br/>
      </w:r>
    </w:p>
    <w:p>
      <w:r>
        <w:br/>
        <w:t>"styles": ["src/styles.scss"],</w:t>
        <w:br/>
        <w:t>"stylePreprocessorOptions": {</w:t>
        <w:br/>
        <w:t xml:space="preserve">  "includePaths": ["src/styles"]</w:t>
        <w:br/>
        <w:t>}</w:t>
        <w:br/>
      </w:r>
    </w:p>
    <w:p>
      <w:pPr>
        <w:pStyle w:val="Heading1"/>
      </w:pPr>
      <w:r>
        <w:t>8. Recomendaciones de Mantenimiento</w:t>
      </w:r>
    </w:p>
    <w:p>
      <w:r>
        <w:br/>
        <w:t>• No usar `@import` (deprecado en Sass 3.0).</w:t>
        <w:br/>
        <w:t>• Centralizar todos los nuevos colores o tamaños en `tokens.scss`.</w:t>
        <w:br/>
        <w:t>• Evitar duplicar estilos locales; usar las clases globales (`.btn`, `.card`, etc.).</w:t>
        <w:br/>
        <w:t>• Documentar cada módulo Sass con encabezados descriptivos.</w:t>
        <w:br/>
        <w:t>• No usar valores fijos; usar las variables definidas en tokens.</w:t>
        <w:br/>
      </w:r>
    </w:p>
    <w:p>
      <w:pPr>
        <w:pStyle w:val="Heading1"/>
      </w:pPr>
      <w:r>
        <w:t>9. Resultado Visual Esperado</w:t>
      </w:r>
    </w:p>
    <w:p>
      <w:r>
        <w:br/>
        <w:t>El sistema mantiene coherencia en todo el ERP:</w:t>
        <w:br/>
        <w:br/>
        <w:t>✅ Botones unificados en color y tamaño.</w:t>
        <w:br/>
        <w:t>✅ Formularios con espaciado uniforme.</w:t>
        <w:br/>
        <w:t>✅ Tarjetas con bordes suaves y sombras sutiles.</w:t>
        <w:br/>
        <w:t>✅ Tipografía moderna, legible y consistente.</w:t>
        <w:br/>
        <w:t>✅ Preparado para modo oscuro e impresión.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