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Procesos Globales — ASSIP-ERP</w:t>
      </w:r>
    </w:p>
    <w:p>
      <w:r>
        <w:t>Autor: Carlos González Pérez — Dirección de Tecnología</w:t>
      </w:r>
    </w:p>
    <w:p>
      <w:r>
        <w:t>Fecha: 26/10/2025</w:t>
      </w:r>
    </w:p>
    <w:p>
      <w:pPr>
        <w:pStyle w:val="Heading2"/>
      </w:pPr>
      <w:r>
        <w:t>1. Introducción general</w:t>
      </w:r>
    </w:p>
    <w:p>
      <w:r>
        <w:br/>
        <w:t xml:space="preserve">El proyecto ASSIP-ERP consolida un conjunto de procesos globales reutilizables </w:t>
        <w:br/>
        <w:t>en todos los módulos del sistema (General, Hoja de Vida, Contabilidad, Activos Fijos, etc.).</w:t>
        <w:br/>
        <w:t xml:space="preserve">Estos procesos unifican comportamiento, apariencia y mantenimiento del ERP, </w:t>
        <w:br/>
        <w:t>asegurando consistencia visual, funcional y técnica.</w:t>
        <w:br/>
      </w:r>
    </w:p>
    <w:p>
      <w:pPr>
        <w:pStyle w:val="Heading2"/>
      </w:pPr>
      <w:r>
        <w:t>2. Encabezado de acciones (HeaderActionsComponent)</w:t>
      </w:r>
    </w:p>
    <w:p>
      <w:r>
        <w:br/>
        <w:t xml:space="preserve">El encabezado de acciones es una barra reutilizable ubicada en la parte superior </w:t>
        <w:br/>
        <w:t xml:space="preserve">de cada formulario o listado. Contiene los botones de acción estándar: </w:t>
        <w:br/>
        <w:t xml:space="preserve">“Nueva entidad”, “Imprimir”, y “Exportar Excel”. </w:t>
        <w:br/>
        <w:t>Permite mantener una experiencia de usuario homogénea entre los diferentes módulos.</w:t>
        <w:br/>
      </w:r>
    </w:p>
    <w:p>
      <w:r>
        <w:t>Ejemplo de uso:</w:t>
      </w:r>
    </w:p>
    <w:p>
      <w:r>
        <w:br/>
        <w:t>&lt;app-header-actions</w:t>
        <w:br/>
        <w:t xml:space="preserve">  titulo="Agencias"</w:t>
        <w:br/>
        <w:t xml:space="preserve">  (nuevo)="nuevaAgencia()"</w:t>
        <w:br/>
        <w:t xml:space="preserve">  (imprimir)="imprimirListado()"</w:t>
        <w:br/>
        <w:t xml:space="preserve">  (exportar)="exportarExcel()"&gt;</w:t>
        <w:br/>
        <w:t>&lt;/app-header-actions&gt;</w:t>
        <w:br/>
      </w:r>
    </w:p>
    <w:p>
      <w:pPr>
        <w:pStyle w:val="Heading2"/>
      </w:pPr>
      <w:r>
        <w:t>3. Motor de impresión unificado</w:t>
      </w:r>
    </w:p>
    <w:p>
      <w:r>
        <w:br/>
        <w:t xml:space="preserve">El motor de impresión (`print-base.template.ts`) define un formato estandarizado </w:t>
        <w:br/>
        <w:t xml:space="preserve">para todos los informes del sistema. Este componente genera un documento HTML completo, </w:t>
        <w:br/>
        <w:t xml:space="preserve">con encabezado institucional, cuerpo dinámico (tabla o detalle), y pie con fecha, usuario </w:t>
        <w:br/>
        <w:t>y numeración de páginas.</w:t>
        <w:br/>
      </w:r>
    </w:p>
    <w:p>
      <w:r>
        <w:br/>
        <w:t>La función principal es:</w:t>
        <w:br/>
        <w:t>printDirect(body: string, options: PrintOptions)</w:t>
        <w:br/>
        <w:br/>
        <w:t>Donde PrintOptions incluye:</w:t>
        <w:br/>
        <w:t>- empresa, nit, title, detalle1, detalle2, logoUrl, user, date.</w:t>
        <w:br/>
      </w:r>
    </w:p>
    <w:p>
      <w:pPr>
        <w:pStyle w:val="Heading2"/>
      </w:pPr>
      <w:r>
        <w:t>4. Estilos y formato</w:t>
      </w:r>
    </w:p>
    <w:p>
      <w:r>
        <w:br/>
        <w:t xml:space="preserve">Los estilos aplican márgenes normalizados, tipografía Arial, </w:t>
        <w:br/>
        <w:t xml:space="preserve">tamaño de fuente 12px y estructura profesional con logo, título, </w:t>
        <w:br/>
        <w:t>y pie institucional con paginación automática (Página X / Y).</w:t>
        <w:br/>
      </w:r>
    </w:p>
    <w:p>
      <w:pPr>
        <w:pStyle w:val="Heading2"/>
      </w:pPr>
      <w:r>
        <w:t>5. Buenas prácticas</w:t>
      </w:r>
    </w:p>
    <w:p>
      <w:r>
        <w:br/>
        <w:t>• Reutilizar los componentes globales en todos los módulos.</w:t>
        <w:br/>
        <w:br/>
        <w:t>• Centralizar los estilos SCSS en shared/print y shared/header-actions.</w:t>
        <w:br/>
        <w:br/>
        <w:t>• Mantener la plantilla de impresión sin dependencias externas.</w:t>
        <w:br/>
        <w:br/>
        <w:t>• Controlar el nombre y formato de los informes desde cada CRUD.</w:t>
        <w:br/>
        <w:br/>
        <w:t>• Utilizar ‘detalle1’ y ‘detalle2’ para describir filtros, rangos de fecha o criterios.</w:t>
        <w:br/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</w:rPr>
      <w:t>ERP ASSIP SOLIDARIA Y FINANCIERA</w:t>
      <w:br/>
      <w:t>Sistema ASSIP-ERP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