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Manual General de Formularios — Módulo Hoja de Vida</w:t>
      </w:r>
    </w:p>
    <w:p>
      <w:r>
        <w:br/>
        <w:t xml:space="preserve">Este documento describe la estructura, funcionamiento y lineamientos generales </w:t>
        <w:br/>
        <w:t>de los formularios impresos del módulo **Hoja de Vida** dentro del sistema **ASSIP‑ERP / COOPVALLE**.</w:t>
        <w:br/>
        <w:t xml:space="preserve">Cada formato comparte una arquitectura base estandarizada y compatible con impresión </w:t>
        <w:br/>
        <w:t xml:space="preserve">en hoja tamaño carta (A4), incluyendo encabezado corporativo, cuerpo de datos y sección </w:t>
        <w:br/>
        <w:t xml:space="preserve">de firmas. Los formularios están diseñados bajo Angular standalone y se integran con </w:t>
        <w:br/>
        <w:t>el motor de Reporting del backend (PostgreSQL + Spring Boot).</w:t>
        <w:br/>
      </w:r>
    </w:p>
    <w:p>
      <w:pPr>
        <w:pStyle w:val="Heading2"/>
      </w:pPr>
      <w:r>
        <w:t>1. Estructura General de Formularios</w:t>
      </w:r>
    </w:p>
    <w:p>
      <w:r>
        <w:br/>
        <w:t>Cada formulario sigue la siguiente estructura:</w:t>
        <w:br/>
        <w:t>- **Encabezado institucional:** contiene el logo, razón social, NIT, versión y fecha actual.</w:t>
        <w:br/>
        <w:t>- **Bloques de contenido:** secciones diferenciadas (Datos Personales, Ubicación, Económicos, SARLAFT, etc.)</w:t>
        <w:br/>
        <w:t>- **Pie de impresión:** información para paginación o fecha de impresión.</w:t>
        <w:br/>
        <w:t>- **Sección de firmas:** espacio para firma y huella del asociado.</w:t>
        <w:br/>
        <w:t>- **Botones de acción:** “Regresar” e “Imprimir”, visibles solo en vista previa (no en impresión).</w:t>
        <w:br/>
      </w:r>
    </w:p>
    <w:p>
      <w:pPr>
        <w:pStyle w:val="Heading2"/>
      </w:pPr>
      <w:r>
        <w:t>2. Componentes Base</w:t>
      </w:r>
    </w:p>
    <w:p>
      <w:r>
        <w:br/>
        <w:t>Los formularios utilizan una estructura Angular standalone con componentes individuales:</w:t>
        <w:br/>
        <w:t>- **afiliacion-formulario.component.ts / html / scss**</w:t>
        <w:br/>
        <w:t>- **tratamiento-datos.component.ts / html / scss**</w:t>
        <w:br/>
        <w:t>- **origen-fondos.component.ts / html / scss**</w:t>
        <w:br/>
        <w:t>- **actualizacion-datos.component.ts / html / scss**</w:t>
        <w:br/>
        <w:t>Cada componente utiliza `ReportingService` para recuperar información desde la vista</w:t>
        <w:br/>
        <w:t>`reporting.vw_hoja_vida_general_total`.</w:t>
        <w:br/>
      </w:r>
    </w:p>
    <w:p>
      <w:pPr>
        <w:pStyle w:val="Heading2"/>
      </w:pPr>
      <w:r>
        <w:t>3. Estilo Corporativo (SCSS Base)</w:t>
      </w:r>
    </w:p>
    <w:p>
      <w:r>
        <w:br/>
        <w:t>El estilo está unificado mediante la hoja `formulario-afiliacion.component.scss`,</w:t>
        <w:br/>
        <w:t>que define la tipografía, márgenes, tamaños de fuente y estilos de impresión.</w:t>
        <w:br/>
        <w:t>Características principales:</w:t>
        <w:br/>
        <w:t>- Márgenes de 15 mm, fuente Arial 12 px.</w:t>
        <w:br/>
        <w:t>- Encabezado con tres columnas: logo, información institucional y versión.</w:t>
        <w:br/>
        <w:t>- Colores corporativos: verde #12903e y gris #6b6b6b.</w:t>
        <w:br/>
        <w:t>- Secciones `.block` y `.card` con bordes suaves y tipografía clara.</w:t>
        <w:br/>
        <w:t>- Modo impresión `@media print` para ocultar botones y ajustar márgenes.</w:t>
        <w:br/>
      </w:r>
    </w:p>
    <w:p>
      <w:pPr>
        <w:pStyle w:val="Heading2"/>
      </w:pPr>
      <w:r>
        <w:t>4. Motor de Reporting</w:t>
      </w:r>
    </w:p>
    <w:p>
      <w:r>
        <w:br/>
        <w:t>Todos los formularios utilizan `ReportingService` para obtener los datos.</w:t>
        <w:br/>
        <w:t>Cada solicitud se realiza sobre la vista:</w:t>
        <w:br/>
        <w:t>`reporting.vw_hoja_vida_general_total`, filtrando por `id_datos_personal`.</w:t>
        <w:br/>
        <w:t>Los datos llegan como un único objeto `persona`, que se muestra directamente en la plantilla.</w:t>
        <w:br/>
        <w:t>No se realizan transformaciones intermedias.</w:t>
        <w:br/>
      </w:r>
    </w:p>
    <w:p>
      <w:pPr>
        <w:pStyle w:val="Heading2"/>
      </w:pPr>
      <w:r>
        <w:t>5. Formularios Incluidos</w:t>
      </w:r>
    </w:p>
    <w:p>
      <w:r>
        <w:br/>
        <w:t>1. **Formulario de Afiliación**</w:t>
        <w:br/>
        <w:t xml:space="preserve">   - Propósito: registro inicial del asociado.</w:t>
        <w:br/>
        <w:t xml:space="preserve">   - Contiene datos personales, ubicación, económicos, financieros, referencias y SARLAFT.</w:t>
        <w:br/>
        <w:t xml:space="preserve">   - Versión: 1.0 — Código: HV-F-001</w:t>
        <w:br/>
        <w:br/>
        <w:t>2. **Tratamiento de Datos Personales**</w:t>
        <w:br/>
        <w:t xml:space="preserve">   - Declara la autorización del asociado para el manejo de datos personales.</w:t>
        <w:br/>
        <w:t xml:space="preserve">   - Incluye texto legal, firma y fecha.</w:t>
        <w:br/>
        <w:t xml:space="preserve">   - Versión: 1.0 — Código: HV-F-002</w:t>
        <w:br/>
        <w:br/>
        <w:t>3. **Declaración de Origen de Fondos**</w:t>
        <w:br/>
        <w:t xml:space="preserve">   - Certifica el origen lícito de los recursos del asociado.</w:t>
        <w:br/>
        <w:t xml:space="preserve">   - Incluye cálculo dinámico del valor de ingreso según edad y parámetros.</w:t>
        <w:br/>
        <w:t xml:space="preserve">   - Versión: 1.0 — Código: HV-F-003</w:t>
        <w:br/>
        <w:br/>
        <w:t>4. **Carta de Exoneración GMF**</w:t>
        <w:br/>
        <w:t xml:space="preserve">   - Solicitud de exoneración del gravamen financiero (4x1000).</w:t>
        <w:br/>
        <w:t xml:space="preserve">   - Incluye identificación del asociado y sección para firma del representante legal.</w:t>
        <w:br/>
        <w:t xml:space="preserve">   - Versión: 1.0 — Código: HV-F-004</w:t>
        <w:br/>
        <w:br/>
        <w:t>5. **Actualización de Datos Persona Naturales**</w:t>
        <w:br/>
        <w:t xml:space="preserve">   - Permite verificar y actualizar la información del asociado anualmente.</w:t>
        <w:br/>
        <w:t xml:space="preserve">   - Estructura similar al formulario de afiliación, con bloques de validación actual.</w:t>
        <w:br/>
        <w:t xml:space="preserve">   - Versión: 1.0 — Código: HV-F-005</w:t>
        <w:br/>
      </w:r>
    </w:p>
    <w:p>
      <w:pPr>
        <w:pStyle w:val="Heading2"/>
      </w:pPr>
      <w:r>
        <w:t>6. Rutas y Configuración</w:t>
      </w:r>
    </w:p>
    <w:p>
      <w:r>
        <w:br/>
        <w:t>Las rutas de acceso están definidas en `AFILIACION_ROUTES`:</w:t>
        <w:br/>
        <w:t>- /hoja-vida/impresiones/afiliacion-formulario/:id</w:t>
        <w:br/>
        <w:t>- /hoja-vida/impresiones/tratamiento-datos/:id</w:t>
        <w:br/>
        <w:t>- /hoja-vida/impresiones/origen-fondos/:id</w:t>
        <w:br/>
        <w:t>- /hoja-vida/impresiones/carta-gmf/:id</w:t>
        <w:br/>
        <w:t>- /hoja-vida/impresiones/actualizacion-datos/:id</w:t>
        <w:br/>
        <w:br/>
        <w:t>El menú de selección de formato se define en `impresiones-menu.config.ts` con los íconos</w:t>
        <w:br/>
        <w:t>📝 🔒 💰 📄 📋 y sus respectivas rutas.</w:t>
        <w:br/>
      </w:r>
    </w:p>
    <w:p>
      <w:pPr>
        <w:pStyle w:val="Heading2"/>
      </w:pPr>
      <w:r>
        <w:t>7. Buenas Prácticas de Desarrollo</w:t>
      </w:r>
    </w:p>
    <w:p>
      <w:r>
        <w:br/>
        <w:t>- Mantener consistencia en nombres de campos y etiquetas entre formularios.</w:t>
        <w:br/>
        <w:t>- Usar siempre `persona()` como origen de datos para evitar errores de referencia.</w:t>
        <w:br/>
        <w:t>- Los estilos deben importarse solo una vez por componente.</w:t>
        <w:br/>
        <w:t>- Verificar siempre la estructura de impresión en tamaño carta antes de desplegar.</w:t>
        <w:br/>
        <w:t>- No incluir lógicas de negocio en los componentes de impresión.</w:t>
        <w:br/>
      </w:r>
    </w:p>
    <w:p>
      <w:pPr>
        <w:pStyle w:val="IntenseQuote"/>
      </w:pPr>
      <w:r>
        <w:br/>
        <w:t>Documento generado automáticamente — COOPVALLE / ASSIP‑ERP —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