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项目周报</w:t>
      </w:r>
    </w:p>
    <w:p>
      <w:pPr>
        <w:pStyle w:val="Subtitle"/>
      </w:pPr>
      <w:r>
        <w:t xml:space="preserve">DSH Word 导出插件</w:t>
      </w:r>
    </w:p>
    <w:p>
      <w:pPr>
        <w:jc w:val="right"/>
      </w:pPr>
      <w:r>
        <w:rPr>
          <w:i/>
          <w:iCs/>
          <w:color w:val="595959"/>
        </w:rPr>
        <w:t xml:space="preserve">DSH</w:t>
      </w:r>
    </w:p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iCs/>
          <w:color w:val="808080"/>
        </w:rPr>
        <w:t xml:space="preserve">Right-click and choose "Update Field" to build the table of contents.</w:t>
      </w:r>
      <w:r>
        <w:fldChar w:fldCharType="end"/>
      </w:r>
    </w:p>
    <w:p>
      <w:pPr>
        <w:pStyle w:val="Heading1"/>
        <w:keepNext/>
      </w:pPr>
      <w:bookmarkStart w:id="1" w:name="_Toc000001"/>
      <w:r>
        <w:t xml:space="preserve">项目周报：DSH Word 导出插件</w:t>
      </w:r>
      <w:bookmarkEnd w:id="1"/>
    </w:p>
    <w:p>
      <w:pPr>
        <w:pStyle w:val="Quote"/>
      </w:pPr>
      <w:r>
        <w:t xml:space="preserve">本示例同时充当转换器的回归样本：标题、强调、列表、表格、代码块、引用与图片都会被转成 Word 原生元素。</w:t>
      </w:r>
    </w:p>
    <w:p>
      <w:pPr>
        <w:pStyle w:val="Heading2"/>
        <w:keepNext/>
      </w:pPr>
      <w:bookmarkStart w:id="2" w:name="_Toc000002"/>
      <w:r>
        <w:t xml:space="preserve">1. 本周进展</w:t>
      </w:r>
      <w:bookmarkEnd w:id="2"/>
    </w:p>
    <w:p>
      <w:pPr>
        <w:pStyle w:val="ListParagraph"/>
        <w:numPr>
          <w:ilvl w:val="0"/>
          <w:numId w:val="1"/>
        </w:numPr>
      </w:pPr>
      <w:r>
        <w:t xml:space="preserve">完成 </w:t>
      </w:r>
      <w:r>
        <w:rPr>
          <w:rFonts w:ascii="Consolas" w:hAnsi="Consolas" w:cs="Consolas"/>
          <w:shd w:val="clear" w:color="auto" w:fill="F2F3F5"/>
        </w:rPr>
        <w:t xml:space="preserve">export_docx</w:t>
      </w:r>
      <w:r>
        <w:t xml:space="preserve"> 工具与 Markdown → OOXML 转换器</w:t>
      </w:r>
    </w:p>
    <w:p>
      <w:pPr>
        <w:pStyle w:val="ListParagraph"/>
        <w:numPr>
          <w:ilvl w:val="0"/>
          <w:numId w:val="1"/>
        </w:numPr>
      </w:pPr>
      <w:r>
        <w:t xml:space="preserve">支持 </w:t>
      </w:r>
      <w:r>
        <w:rPr>
          <w:b/>
          <w:bCs/>
        </w:rPr>
        <w:t xml:space="preserve">加粗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r>
        <w:rPr>
          <w:rFonts w:ascii="Consolas" w:hAnsi="Consolas" w:cs="Consolas"/>
          <w:shd w:val="clear" w:color="auto" w:fill="F2F3F5"/>
        </w:rPr>
        <w:t xml:space="preserve">行内代码</w:t>
      </w:r>
      <w:r>
        <w:t xml:space="preserve">、</w:t>
      </w:r>
      <w:r>
        <w:rPr>
          <w:strike/>
        </w:rPr>
        <w:t xml:space="preserve">删除线</w:t>
      </w:r>
      <w:r>
        <w:t xml:space="preserve"> 与 </w:t>
      </w:r>
      <w:hyperlink r:id="rId4" w:history="1">
        <w:r>
          <w:rPr>
            <w:rStyle w:val="Hyperlink"/>
            <w:u w:val="single"/>
            <w:color w:val="0969DA"/>
          </w:rPr>
          <w:t xml:space="preserve">链接</w:t>
        </w:r>
      </w:hyperlink>
    </w:p>
    <w:p>
      <w:pPr>
        <w:pStyle w:val="ListParagraph"/>
        <w:numPr>
          <w:ilvl w:val="0"/>
          <w:numId w:val="1"/>
        </w:numPr>
      </w:pPr>
      <w:r>
        <w:t xml:space="preserve">列表支持嵌套：</w:t>
      </w:r>
    </w:p>
    <w:p>
      <w:pPr>
        <w:pStyle w:val="ListParagraph"/>
        <w:numPr>
          <w:ilvl w:val="1"/>
          <w:numId w:val="2"/>
        </w:numPr>
      </w:pPr>
      <w:r>
        <w:t xml:space="preserve">有序列表</w:t>
      </w:r>
    </w:p>
    <w:p>
      <w:pPr>
        <w:pStyle w:val="ListParagraph"/>
        <w:numPr>
          <w:ilvl w:val="1"/>
          <w:numId w:val="2"/>
        </w:numPr>
      </w:pPr>
      <w:r>
        <w:t xml:space="preserve">二级条目</w:t>
      </w:r>
    </w:p>
    <w:p>
      <w:pPr>
        <w:pStyle w:val="ListParagraph"/>
        <w:numPr>
          <w:ilvl w:val="2"/>
          <w:numId w:val="1"/>
        </w:numPr>
      </w:pPr>
      <w:r>
        <w:t xml:space="preserve">三级条目</w:t>
      </w:r>
    </w:p>
    <w:p>
      <w:pPr>
        <w:pStyle w:val="ListParagraph"/>
        <w:numPr>
          <w:ilvl w:val="0"/>
          <w:numId w:val="1"/>
        </w:numPr>
      </w:pPr>
      <w:r>
        <w:t xml:space="preserve">任务清单：</w:t>
      </w:r>
    </w:p>
    <w:p>
      <w:pPr>
        <w:pStyle w:val="ListParagraph"/>
        <w:numPr>
          <w:ilvl w:val="1"/>
          <w:numId w:val="1"/>
        </w:numPr>
      </w:pPr>
      <w:r>
        <w:t xml:space="preserve">☑ </w:t>
      </w:r>
      <w:r>
        <w:t xml:space="preserve">生成 .docx 包结构</w:t>
      </w:r>
    </w:p>
    <w:p>
      <w:pPr>
        <w:pStyle w:val="ListParagraph"/>
        <w:numPr>
          <w:ilvl w:val="1"/>
          <w:numId w:val="1"/>
        </w:numPr>
      </w:pPr>
      <w:r>
        <w:t xml:space="preserve">☐ </w:t>
      </w:r>
      <w:r>
        <w:t xml:space="preserve">补充更多模板样式</w:t>
      </w:r>
    </w:p>
    <w:p>
      <w:pPr>
        <w:pStyle w:val="Heading2"/>
        <w:keepNext/>
      </w:pPr>
      <w:bookmarkStart w:id="3" w:name="_Toc000003"/>
      <w:r>
        <w:t xml:space="preserve">2. 关键数据</w:t>
      </w:r>
      <w:bookmarkEnd w:id="3"/>
    </w:p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267"/>
        <w:gridCol w:w="2267"/>
        <w:gridCol w:w="2267"/>
        <w:gridCol w:w="2267"/>
      </w:tblGrid>
      <w:tr>
        <w:trPr>
          <w:tblHeader/>
        </w:trPr>
        <w:tc>
          <w:tcPr>
            <w:tcW w:w="2267" w:type="dxa"/>
            <w:shd w:val="clear" w:color="auto" w:fill="F2F3F5"/>
          </w:tcPr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w="2267" w:type="dxa"/>
            <w:shd w:val="clear" w:color="auto" w:fill="F2F3F5"/>
          </w:tcPr>
          <w:p>
            <w:pPr>
              <w:jc w:val="right"/>
            </w:pPr>
            <w:r>
              <w:rPr>
                <w:b/>
                <w:bCs/>
              </w:rPr>
              <w:t xml:space="preserve">代码行数</w:t>
            </w:r>
          </w:p>
        </w:tc>
        <w:tc>
          <w:tcPr>
            <w:tcW w:w="2267" w:type="dxa"/>
            <w:shd w:val="clear" w:color="auto" w:fill="F2F3F5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w="2267" w:type="dxa"/>
            <w:shd w:val="clear" w:color="auto" w:fill="F2F3F5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w="2267" w:type="dxa"/>
          </w:tcPr>
          <w:p>
            <w:pPr>
              <w:jc w:val="left"/>
            </w:pPr>
            <w:r>
              <w:t xml:space="preserve">压缩写入器</w:t>
            </w:r>
          </w:p>
        </w:tc>
        <w:tc>
          <w:tcPr>
            <w:tcW w:w="2267" w:type="dxa"/>
          </w:tcPr>
          <w:p>
            <w:pPr>
              <w:jc w:val="right"/>
            </w:pPr>
            <w:r>
              <w:t xml:space="preserve">120</w:t>
            </w:r>
          </w:p>
        </w:tc>
        <w:tc>
          <w:tcPr>
            <w:tcW w:w="2267" w:type="dxa"/>
          </w:tcPr>
          <w:p>
            <w:pPr>
              <w:jc w:val="center"/>
            </w:pPr>
            <w:r>
              <w:t xml:space="preserve">完成</w:t>
            </w:r>
          </w:p>
        </w:tc>
        <w:tc>
          <w:tcPr>
            <w:tcW w:w="2267" w:type="dxa"/>
          </w:tcPr>
          <w:p>
            <w:r>
              <w:t xml:space="preserve">纯 Node，无依赖</w:t>
            </w:r>
          </w:p>
        </w:tc>
      </w:tr>
      <w:tr>
        <w:tc>
          <w:tcPr>
            <w:tcW w:w="2267" w:type="dxa"/>
          </w:tcPr>
          <w:p>
            <w:pPr>
              <w:jc w:val="left"/>
            </w:pPr>
            <w:r>
              <w:t xml:space="preserve">Markdown 解析</w:t>
            </w:r>
          </w:p>
        </w:tc>
        <w:tc>
          <w:tcPr>
            <w:tcW w:w="2267" w:type="dxa"/>
          </w:tcPr>
          <w:p>
            <w:pPr>
              <w:jc w:val="right"/>
            </w:pPr>
            <w:r>
              <w:t xml:space="preserve">330</w:t>
            </w:r>
          </w:p>
        </w:tc>
        <w:tc>
          <w:tcPr>
            <w:tcW w:w="2267" w:type="dxa"/>
          </w:tcPr>
          <w:p>
            <w:pPr>
              <w:jc w:val="center"/>
            </w:pPr>
            <w:r>
              <w:t xml:space="preserve">完成</w:t>
            </w:r>
          </w:p>
        </w:tc>
        <w:tc>
          <w:tcPr>
            <w:tcW w:w="2267" w:type="dxa"/>
          </w:tcPr>
          <w:p>
            <w:r>
              <w:t xml:space="preserve">支持 GFM 表格</w:t>
            </w:r>
          </w:p>
        </w:tc>
      </w:tr>
      <w:tr>
        <w:tc>
          <w:tcPr>
            <w:tcW w:w="2267" w:type="dxa"/>
          </w:tcPr>
          <w:p>
            <w:pPr>
              <w:jc w:val="left"/>
            </w:pPr>
            <w:r>
              <w:t xml:space="preserve">OOXML 生成</w:t>
            </w:r>
          </w:p>
        </w:tc>
        <w:tc>
          <w:tcPr>
            <w:tcW w:w="2267" w:type="dxa"/>
          </w:tcPr>
          <w:p>
            <w:pPr>
              <w:jc w:val="right"/>
            </w:pPr>
            <w:r>
              <w:t xml:space="preserve">720</w:t>
            </w:r>
          </w:p>
        </w:tc>
        <w:tc>
          <w:tcPr>
            <w:tcW w:w="2267" w:type="dxa"/>
          </w:tcPr>
          <w:p>
            <w:pPr>
              <w:jc w:val="center"/>
            </w:pPr>
            <w:r>
              <w:t xml:space="preserve">完成</w:t>
            </w:r>
          </w:p>
        </w:tc>
        <w:tc>
          <w:tcPr>
            <w:tcW w:w="2267" w:type="dxa"/>
          </w:tcPr>
          <w:p>
            <w:r>
              <w:t xml:space="preserve">样式/编号/表格/图片</w:t>
            </w:r>
          </w:p>
        </w:tc>
      </w:tr>
    </w:tbl>
    <w:p/>
    <w:p>
      <w:pPr>
        <w:pStyle w:val="Heading2"/>
        <w:keepNext/>
      </w:pPr>
      <w:bookmarkStart w:id="4" w:name="_Toc000004"/>
      <w:r>
        <w:t xml:space="preserve">3. 架构示意</w:t>
      </w:r>
      <w:bookmarkEnd w:id="4"/>
    </w:p>
    <w:p>
      <w:pPr>
        <w:jc w:val="center"/>
      </w:pPr>
      <w:r>
        <w:drawing>
          <wp:inline distT="0" distB="0" distL="0" distR="0">
            <wp:extent cx="5759450" cy="1439863"/>
            <wp:effectExtent l="0" t="0" r="0" b="0"/>
            <wp:docPr id="1" name="image1.png" descr="导出流程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导出流程示意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bookmarkStart w:id="5" w:name="_Toc000005"/>
      <w:r>
        <w:t xml:space="preserve">4. 代码示例</w:t>
      </w:r>
      <w:bookmarkEnd w:id="5"/>
    </w:p>
    <w:p>
      <w:pPr>
        <w:pStyle w:val="CodeBlock"/>
        <w:shd w:val="clear" w:color="auto" w:fill="F6F8FA"/>
        <w:pBdr>
          <w:top w:val="single" w:sz="4" w:space="4" w:color="D8DEE4"/>
          <w:left w:val="single" w:sz="4" w:space="4" w:color="D8DEE4"/>
          <w:bottom w:val="single" w:sz="4" w:space="4" w:color="D8DEE4"/>
          <w:right w:val="single" w:sz="4" w:space="4" w:color="D8DEE4"/>
        </w:pBdr>
        <w:spacing w:before="120" w:after="120" w:line="240" w:lineRule="auto"/>
      </w:pPr>
      <w:r>
        <w:rPr>
          <w:rFonts w:ascii="Consolas" w:hAnsi="Consolas" w:cs="Consolas"/>
          <w:shd w:val="clear" w:color="auto" w:fill="F2F3F5"/>
          <w:sz w:val="20"/>
          <w:szCs w:val="20"/>
        </w:rPr>
        <w:t xml:space="preserve">const { buildDocx } = await import('dsh-docx-export')</w:t>
        <w:br/>
        <w:t xml:space="preserve">const { buffer } = await buildDocx('# 标题\n\n正文', { toc: true })</w:t>
      </w:r>
    </w:p>
    <w:p>
      <w:pPr>
        <w:pStyle w:val="Heading2"/>
        <w:keepNext/>
      </w:pPr>
      <w:bookmarkStart w:id="6" w:name="_Toc000006"/>
      <w:r>
        <w:t xml:space="preserve">5. 引用与说明</w:t>
      </w:r>
      <w:bookmarkEnd w:id="6"/>
    </w:p>
    <w:p>
      <w:pPr>
        <w:pStyle w:val="Quote"/>
      </w:pPr>
      <w:r>
        <w:t xml:space="preserve">导出的文档使用 Word 原生样式（Heading 1-6、List Paragraph、Quote、Code Block），</w:t>
        <w:br/>
        <w:t xml:space="preserve">因此可以直接套用企业模板、自动生成目录与页码。</w:t>
      </w:r>
    </w:p>
    <w:p>
      <w:pPr>
        <w:pBdr>
          <w:bottom w:val="single" w:sz="6" w:space="1" w:color="C9D1D9"/>
        </w:pBdr>
        <w:spacing w:before="120" w:after="120"/>
      </w:pPr>
    </w:p>
    <w:p>
      <w:pPr>
        <w:pStyle w:val="Heading2"/>
        <w:keepNext/>
      </w:pPr>
      <w:bookmarkStart w:id="7" w:name="_Toc000007"/>
      <w:r>
        <w:t xml:space="preserve">6. 下周计划</w:t>
      </w:r>
      <w:bookmarkEnd w:id="7"/>
    </w:p>
    <w:p>
      <w:pPr>
        <w:pStyle w:val="ListParagraph"/>
        <w:numPr>
          <w:ilvl w:val="0"/>
          <w:numId w:val="2"/>
        </w:numPr>
      </w:pPr>
      <w:r>
        <w:t xml:space="preserve">增加 LaTeX 公式转 OMML</w:t>
      </w:r>
    </w:p>
    <w:p>
      <w:pPr>
        <w:pStyle w:val="ListParagraph"/>
        <w:numPr>
          <w:ilvl w:val="0"/>
          <w:numId w:val="2"/>
        </w:numPr>
      </w:pPr>
      <w:r>
        <w:t xml:space="preserve">支持页眉页脚自定义</w:t>
      </w:r>
    </w:p>
    <w:p>
      <w:pPr>
        <w:pStyle w:val="ListParagraph"/>
        <w:numPr>
          <w:ilvl w:val="0"/>
          <w:numId w:val="2"/>
        </w:numPr>
      </w:pPr>
      <w:r>
        <w:t xml:space="preserve">提供参考模板（公文 / 报告 / 论文）</w:t>
      </w:r>
    </w:p>
    <w:sectPr>
      <w:footerReference w:type="default" r:id="rId6"/>
      <w:pgSz w:w="11906" w:h="16838"/>
      <w:pgMar w:top="1418" w:right="1418" w:bottom="1418" w:left="1418" w:header="851" w:footer="992" w:gutter="0"/>
      <w:cols w:space="708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rPr>
        <w:color w:val="6E7781"/>
        <w:sz w:val="18"/>
        <w:szCs w:val="18"/>
      </w:rPr>
      <w:t xml:space="preserve">项目周报    </w:t>
    </w:r>
    <w:r>
      <w:fldChar w:fldCharType="begin"/>
    </w:r>
    <w:r>
      <w:instrText xml:space="preserve"> PAGE </w:instrText>
    </w:r>
    <w:r>
      <w:fldChar w:fldCharType="separate"/>
    </w:r>
    <w:r>
      <w:rPr>
        <w:color w:val="6E7781"/>
        <w:sz w:val="18"/>
        <w:szCs w:val="18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160" w:hanging="360"/>
      </w:pPr>
    </w:lvl>
    <w:lvl w:ilvl="5">
      <w:start w:val="1"/>
      <w:numFmt w:val="lowerRoman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2"/>
        <w:szCs w:val="22"/>
        <w:lang w:val="en-US" w:eastAsia="zh-CN" w:bidi="ar-SA"/>
      </w:rPr>
    </w:rPrDefault>
    <w:pPrDefault>
      <w:pPr>
        <w:spacing w:before="60" w:after="120" w:line="32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jc w:val="center"/>
    </w:pPr>
    <w:rPr>
      <w:rFonts w:ascii="Calibri" w:hAnsi="Calibri" w:eastAsia="微软雅黑" w:cs="Calibri"/>
      <w:b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40"/>
    </w:pPr>
    <w:rPr>
      <w:rFonts w:ascii="Calibri" w:hAnsi="Calibri" w:eastAsia="微软雅黑" w:cs="Calibri"/>
      <w:color w:val="57606A"/>
      <w:sz w:val="24"/>
      <w:szCs w:val="24"/>
    </w:rPr>
  </w:style>
  <w:style w:type="paragraph" w:styleId="TOCHeading">
    <w:name w:val="TOC Heading"/>
    <w:basedOn w:val="Heading1"/>
    <w:next w:val="Normal"/>
    <w:pPr>
      <w:outlineLvl w:val="9"/>
    </w:p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rFonts w:ascii="Calibri" w:hAnsi="Calibri" w:eastAsia="微软雅黑" w:cs="Calibri"/>
      <w:b/>
      <w:bCs/>
      <w:sz w:val="52"/>
      <w:szCs w:val="52"/>
      <w:color w:val="1F23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" w:hAnsi="Calibri" w:eastAsia="微软雅黑" w:cs="Calibri"/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" w:hAnsi="Calibri" w:eastAsia="微软雅黑" w:cs="Calibri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" w:hAnsi="Calibri" w:eastAsia="微软雅黑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" w:hAnsi="Calibri" w:eastAsia="微软雅黑" w:cs="Calibri"/>
      <w:b/>
      <w:bCs/>
      <w:sz w:val="25"/>
      <w:szCs w:val="25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" w:hAnsi="Calibri" w:eastAsia="微软雅黑" w:cs="Calibri"/>
      <w:b/>
      <w:bCs/>
      <w:sz w:val="23"/>
      <w:szCs w:val="23"/>
    </w:rPr>
  </w:style>
  <w:style w:type="paragraph" w:styleId="Quote">
    <w:name w:val="Quote"/>
    <w:basedOn w:val="Normal"/>
    <w:pPr>
      <w:ind w:left="480"/>
      <w:spacing w:before="120" w:after="120"/>
      <w:pBdr>
        <w:left w:val="single" w:sz="18" w:space="8" w:color="D0D7DE"/>
      </w:pBdr>
    </w:pPr>
    <w:rPr>
      <w:rFonts w:ascii="Calibri" w:hAnsi="Calibri" w:eastAsia="微软雅黑" w:cs="Calibri"/>
      <w:i/>
      <w:iCs/>
      <w:color w:val="57606A"/>
    </w:rPr>
  </w:style>
  <w:style w:type="paragraph" w:styleId="CodeBlock">
    <w:name w:val="Code Block"/>
    <w:basedOn w:val="Normal"/>
    <w:pPr>
      <w:spacing w:before="120" w:after="120" w:line="240" w:lineRule="auto"/>
    </w:pPr>
    <w:rPr>
      <w:rFonts w:ascii="Consolas" w:hAnsi="Consolas" w:eastAsia="微软雅黑" w:cs="Consolas"/>
      <w:sz w:val="20"/>
    </w:rPr>
  </w:style>
  <w:style w:type="paragraph" w:styleId="ListParagraph">
    <w:name w:val="List Paragraph"/>
    <w:basedOn w:val="Normal"/>
    <w:pPr>
      <w:spacing w:before="0" w:after="60" w:line="300" w:lineRule="auto"/>
    </w:pPr>
  </w:style>
  <w:style w:type="character" w:styleId="Hyperlink">
    <w:name w:val="Hyperlink"/>
    <w:rPr>
      <w:color w:val="0969DA"/>
      <w:u w:val="single"/>
    </w:r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yperlink" Target="https://example.com/docs" TargetMode="External"/><Relationship Id="rId5" Type="http://schemas.openxmlformats.org/officeDocument/2006/relationships/image" Target="media/image1.png"/><Relationship Id="rId6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dsh-docx-export</Application>
  <DocSecurity>0</DocSecurity>
  <ScaleCrop>false</ScaleCrop>
  <Company/>
  <LinksUpToDate>false</LinksUpToDate>
  <SharedDoc>false</SharedDoc>
  <HyperlinksChanged>false</HyperlinksChanged>
  <AppVersion>1.0</AppVersion>
  <Words>86</Word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subject/>
  <dc:creator>DSH</dc:creator>
  <cp:lastModifiedBy>DSH</cp:lastModifiedBy>
  <cp:keywords/>
  <cp:revision>1</cp:revision>
  <dcterms:created xsi:type="dcterms:W3CDTF">2026-10-06T04:06:16Z</dcterms:created>
  <dcterms:modified xsi:type="dcterms:W3CDTF">2026-10-06T04:06:16Z</dcterms:modified>
</cp:coreProperties>
</file>