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716FAEA5"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 xml:space="preserve">A </w:t>
      </w:r>
      <w:r w:rsidR="00E84BDE">
        <w:rPr>
          <w:rFonts w:ascii="Courier New" w:hAnsi="Courier New" w:cs="Courier New"/>
          <w:sz w:val="24"/>
          <w:szCs w:val="24"/>
          <w:lang w:val="en-US"/>
        </w:rPr>
        <w:t>T</w:t>
      </w:r>
      <w:r w:rsidRPr="00C33C43">
        <w:rPr>
          <w:rFonts w:ascii="Courier New" w:hAnsi="Courier New" w:cs="Courier New"/>
          <w:sz w:val="24"/>
          <w:szCs w:val="24"/>
          <w:lang w:val="en-US"/>
        </w:rPr>
        <w: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15835A7F" w:rsidR="004C6C21" w:rsidRPr="00C33C43" w:rsidRDefault="007B418D" w:rsidP="004C6C21">
      <w:pPr>
        <w:pStyle w:val="NoSpacing"/>
        <w:jc w:val="center"/>
        <w:rPr>
          <w:rFonts w:ascii="Courier New" w:hAnsi="Courier New" w:cs="Courier New"/>
          <w:b/>
          <w:bCs/>
          <w:sz w:val="24"/>
          <w:szCs w:val="24"/>
        </w:rPr>
      </w:pPr>
      <w:r>
        <w:rPr>
          <w:rFonts w:ascii="Courier New" w:hAnsi="Courier New" w:cs="Courier New"/>
          <w:b/>
          <w:bCs/>
          <w:sz w:val="24"/>
          <w:szCs w:val="24"/>
        </w:rPr>
        <w:t>IT RESEARCH METHOD</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E4A0B3B" w:rsidR="00D84FAA" w:rsidRDefault="00D84FAA" w:rsidP="00BF27C8">
            <w:pPr>
              <w:spacing w:line="480" w:lineRule="auto"/>
              <w:rPr>
                <w:rFonts w:ascii="Courier New" w:hAnsi="Courier New" w:cs="Courier New"/>
                <w:b/>
                <w:bCs/>
                <w:sz w:val="24"/>
                <w:szCs w:val="24"/>
                <w:lang w:val="en-US"/>
              </w:rPr>
            </w:pP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23BF2550" w:rsidR="00D84FAA" w:rsidRDefault="00D84FAA" w:rsidP="00BF27C8">
            <w:pPr>
              <w:spacing w:line="480" w:lineRule="auto"/>
              <w:rPr>
                <w:rFonts w:ascii="Courier New" w:hAnsi="Courier New" w:cs="Courier New"/>
                <w:b/>
                <w:bCs/>
                <w:sz w:val="24"/>
                <w:szCs w:val="24"/>
                <w:lang w:val="en-US"/>
              </w:rPr>
            </w:pPr>
          </w:p>
        </w:tc>
        <w:tc>
          <w:tcPr>
            <w:tcW w:w="593" w:type="dxa"/>
          </w:tcPr>
          <w:p w14:paraId="1771B3CA" w14:textId="299DBF43" w:rsidR="00D84FAA" w:rsidRDefault="00D84FAA" w:rsidP="00AF61E0">
            <w:pPr>
              <w:spacing w:line="480" w:lineRule="auto"/>
              <w:jc w:val="center"/>
              <w:rPr>
                <w:rFonts w:ascii="Courier New" w:hAnsi="Courier New" w:cs="Courier New"/>
                <w:b/>
                <w:bCs/>
                <w:sz w:val="24"/>
                <w:szCs w:val="24"/>
                <w:lang w:val="en-US"/>
              </w:rPr>
            </w:pP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B8F6F69" w:rsidR="00D84FAA" w:rsidRDefault="00D84FAA" w:rsidP="00BF27C8">
            <w:pPr>
              <w:spacing w:line="480" w:lineRule="auto"/>
              <w:rPr>
                <w:rFonts w:ascii="Courier New" w:hAnsi="Courier New" w:cs="Courier New"/>
                <w:b/>
                <w:bCs/>
                <w:sz w:val="24"/>
                <w:szCs w:val="24"/>
                <w:lang w:val="en-US"/>
              </w:rPr>
            </w:pPr>
          </w:p>
        </w:tc>
        <w:tc>
          <w:tcPr>
            <w:tcW w:w="593" w:type="dxa"/>
          </w:tcPr>
          <w:p w14:paraId="397B360D" w14:textId="77073BD6" w:rsidR="00D84FAA" w:rsidRDefault="00D84FAA" w:rsidP="00AF61E0">
            <w:pPr>
              <w:spacing w:line="480" w:lineRule="auto"/>
              <w:jc w:val="center"/>
              <w:rPr>
                <w:rFonts w:ascii="Courier New" w:hAnsi="Courier New" w:cs="Courier New"/>
                <w:b/>
                <w:bCs/>
                <w:sz w:val="24"/>
                <w:szCs w:val="24"/>
                <w:lang w:val="en-US"/>
              </w:rPr>
            </w:pP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21ED344F" w14:textId="54A100C2" w:rsidR="00281EB6"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23FC7FEF" w:rsidR="00785AAF" w:rsidRDefault="006C161C" w:rsidP="00281EB6">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2">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77FCEC73" w14:textId="77777777" w:rsidR="00D931A8" w:rsidRPr="00D0428F" w:rsidRDefault="00D931A8" w:rsidP="00D931A8">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255287FB" w14:textId="6A7EF727" w:rsidR="00D931A8" w:rsidRDefault="00D931A8" w:rsidP="00D931A8">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5B82498F" w14:textId="77777777" w:rsidR="00D931A8" w:rsidRPr="00D931A8" w:rsidRDefault="00D931A8" w:rsidP="00D931A8">
      <w:pPr>
        <w:spacing w:line="480" w:lineRule="auto"/>
        <w:ind w:firstLine="720"/>
        <w:jc w:val="both"/>
        <w:rPr>
          <w:rFonts w:ascii="Courier New" w:hAnsi="Courier New" w:cs="Courier New"/>
          <w:sz w:val="24"/>
          <w:szCs w:val="24"/>
          <w:lang w:val="en-US"/>
        </w:rPr>
      </w:pPr>
    </w:p>
    <w:p w14:paraId="3D080265" w14:textId="01DD6403" w:rsidR="00D931A8" w:rsidRDefault="00D931A8" w:rsidP="00D931A8">
      <w:pPr>
        <w:spacing w:line="480" w:lineRule="auto"/>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6EB0CE7D" w14:textId="77777777" w:rsidR="00D931A8" w:rsidRDefault="00D931A8" w:rsidP="00D931A8">
      <w:pPr>
        <w:spacing w:line="480" w:lineRule="auto"/>
        <w:ind w:firstLine="720"/>
        <w:jc w:val="both"/>
        <w:rPr>
          <w:rFonts w:ascii="Courier New" w:hAnsi="Courier New" w:cs="Courier New"/>
          <w:sz w:val="24"/>
          <w:szCs w:val="24"/>
        </w:rPr>
      </w:pPr>
      <w:r w:rsidRPr="00D0428F">
        <w:rPr>
          <w:rFonts w:ascii="Courier New" w:hAnsi="Courier New" w:cs="Courier New"/>
          <w:sz w:val="24"/>
          <w:szCs w:val="24"/>
          <w:lang w:val="en-US"/>
        </w:rPr>
        <w:t>This literature review examines the role of Online Recruitment Systems in the insurance and investment sector in Mindoro, Philippines. Focusing on usability, user roles, and localization, it provides insights for strategically designing a targeted recruitment solution.</w:t>
      </w:r>
      <w:r>
        <w:rPr>
          <w:rFonts w:ascii="Courier New" w:hAnsi="Courier New" w:cs="Courier New"/>
          <w:sz w:val="24"/>
          <w:szCs w:val="24"/>
          <w:lang w:val="en-US"/>
        </w:rPr>
        <w:t xml:space="preserve"> S</w:t>
      </w:r>
      <w:r w:rsidRPr="00F901F5">
        <w:rPr>
          <w:rFonts w:ascii="Courier New" w:hAnsi="Courier New" w:cs="Courier New"/>
          <w:sz w:val="24"/>
          <w:szCs w:val="24"/>
          <w:lang w:val="en-US"/>
        </w:rPr>
        <w:t>ociodemographic factors, such as age, race, education, and income, are related to online job searching</w:t>
      </w:r>
      <w:r>
        <w:rPr>
          <w:rFonts w:ascii="Courier New" w:hAnsi="Courier New" w:cs="Courier New"/>
          <w:sz w:val="24"/>
          <w:szCs w:val="24"/>
          <w:lang w:val="en-US"/>
        </w:rPr>
        <w:t xml:space="preserve"> </w:t>
      </w:r>
      <w:proofErr w:type="spellStart"/>
      <w:r w:rsidRPr="00F901F5">
        <w:rPr>
          <w:rFonts w:ascii="Courier New" w:hAnsi="Courier New" w:cs="Courier New"/>
          <w:sz w:val="24"/>
          <w:szCs w:val="24"/>
        </w:rPr>
        <w:t>Karaoglu</w:t>
      </w:r>
      <w:proofErr w:type="spellEnd"/>
      <w:r w:rsidRPr="00F901F5">
        <w:rPr>
          <w:rFonts w:ascii="Courier New" w:hAnsi="Courier New" w:cs="Courier New"/>
          <w:sz w:val="24"/>
          <w:szCs w:val="24"/>
        </w:rPr>
        <w:t xml:space="preserve">, </w:t>
      </w:r>
      <w:r>
        <w:rPr>
          <w:rFonts w:ascii="Courier New" w:hAnsi="Courier New" w:cs="Courier New"/>
          <w:sz w:val="24"/>
          <w:szCs w:val="24"/>
        </w:rPr>
        <w:t>et al. (</w:t>
      </w:r>
      <w:r w:rsidRPr="00F901F5">
        <w:rPr>
          <w:rFonts w:ascii="Courier New" w:hAnsi="Courier New" w:cs="Courier New"/>
          <w:sz w:val="24"/>
          <w:szCs w:val="24"/>
        </w:rPr>
        <w:t>2022</w:t>
      </w:r>
      <w:r>
        <w:rPr>
          <w:rFonts w:ascii="Courier New" w:hAnsi="Courier New" w:cs="Courier New"/>
          <w:sz w:val="24"/>
          <w:szCs w:val="24"/>
        </w:rPr>
        <w:t>)</w:t>
      </w:r>
      <w:r w:rsidRPr="00F901F5">
        <w:t xml:space="preserve"> </w:t>
      </w:r>
      <w:r w:rsidRPr="00F901F5">
        <w:rPr>
          <w:rFonts w:ascii="Courier New" w:hAnsi="Courier New" w:cs="Courier New"/>
          <w:sz w:val="24"/>
          <w:szCs w:val="24"/>
        </w:rPr>
        <w:t>The accessibility and preferences for online job hunting differ throughout sociodemographic categories. To encourage diversity, online recruitment techniques should take these inequalities into account.</w:t>
      </w:r>
      <w:r>
        <w:rPr>
          <w:rFonts w:ascii="Courier New" w:hAnsi="Courier New" w:cs="Courier New"/>
          <w:sz w:val="24"/>
          <w:szCs w:val="24"/>
        </w:rPr>
        <w:t xml:space="preserve"> According to </w:t>
      </w:r>
      <w:r w:rsidRPr="00FA1CFB">
        <w:rPr>
          <w:rFonts w:ascii="Courier New" w:hAnsi="Courier New" w:cs="Courier New"/>
          <w:sz w:val="24"/>
          <w:szCs w:val="24"/>
        </w:rPr>
        <w:t xml:space="preserve">Malki and </w:t>
      </w:r>
      <w:proofErr w:type="spellStart"/>
      <w:r w:rsidRPr="00FA1CFB">
        <w:rPr>
          <w:rFonts w:ascii="Courier New" w:hAnsi="Courier New" w:cs="Courier New"/>
          <w:sz w:val="24"/>
          <w:szCs w:val="24"/>
        </w:rPr>
        <w:t>Atlam</w:t>
      </w:r>
      <w:proofErr w:type="spellEnd"/>
      <w:r w:rsidRPr="00FA1CFB">
        <w:rPr>
          <w:rFonts w:ascii="Courier New" w:hAnsi="Courier New" w:cs="Courier New"/>
          <w:sz w:val="24"/>
          <w:szCs w:val="24"/>
        </w:rPr>
        <w:t xml:space="preserve">, </w:t>
      </w:r>
      <w:r>
        <w:rPr>
          <w:rFonts w:ascii="Courier New" w:hAnsi="Courier New" w:cs="Courier New"/>
          <w:sz w:val="24"/>
          <w:szCs w:val="24"/>
        </w:rPr>
        <w:t>(</w:t>
      </w:r>
      <w:r w:rsidRPr="00FA1CFB">
        <w:rPr>
          <w:rFonts w:ascii="Courier New" w:hAnsi="Courier New" w:cs="Courier New"/>
          <w:sz w:val="24"/>
          <w:szCs w:val="24"/>
        </w:rPr>
        <w:t>2021)</w:t>
      </w:r>
      <w:r>
        <w:rPr>
          <w:rFonts w:ascii="Courier New" w:hAnsi="Courier New" w:cs="Courier New"/>
          <w:sz w:val="24"/>
          <w:szCs w:val="24"/>
        </w:rPr>
        <w:t xml:space="preserve"> </w:t>
      </w:r>
      <w:r w:rsidRPr="00FA1CFB">
        <w:rPr>
          <w:rFonts w:ascii="Courier New" w:hAnsi="Courier New" w:cs="Courier New"/>
          <w:sz w:val="24"/>
          <w:szCs w:val="24"/>
        </w:rPr>
        <w:t>applying to companies in the paper form is not very effective</w:t>
      </w:r>
      <w:r>
        <w:rPr>
          <w:rFonts w:ascii="Courier New" w:hAnsi="Courier New" w:cs="Courier New"/>
          <w:sz w:val="24"/>
          <w:szCs w:val="24"/>
        </w:rPr>
        <w:t>, this statement here is one of the reasons for the development of this system. “</w:t>
      </w:r>
      <w:r w:rsidRPr="00C97B25">
        <w:rPr>
          <w:rFonts w:ascii="Courier New" w:hAnsi="Courier New" w:cs="Courier New"/>
          <w:sz w:val="24"/>
          <w:szCs w:val="24"/>
        </w:rPr>
        <w:t>One of the obstacles in the company recruitment process is the change of labor force generation</w:t>
      </w:r>
      <w:r>
        <w:rPr>
          <w:rFonts w:ascii="Courier New" w:hAnsi="Courier New" w:cs="Courier New"/>
          <w:sz w:val="24"/>
          <w:szCs w:val="24"/>
        </w:rPr>
        <w:t xml:space="preserve">” </w:t>
      </w:r>
      <w:proofErr w:type="spellStart"/>
      <w:r w:rsidRPr="00C97B25">
        <w:rPr>
          <w:rFonts w:ascii="Courier New" w:hAnsi="Courier New" w:cs="Courier New"/>
          <w:sz w:val="24"/>
          <w:szCs w:val="24"/>
        </w:rPr>
        <w:t>Prasetyaningtyas</w:t>
      </w:r>
      <w:proofErr w:type="spellEnd"/>
      <w:r w:rsidRPr="00C97B25">
        <w:rPr>
          <w:rFonts w:ascii="Courier New" w:hAnsi="Courier New" w:cs="Courier New"/>
          <w:sz w:val="24"/>
          <w:szCs w:val="24"/>
        </w:rPr>
        <w:t>,</w:t>
      </w:r>
      <w:r>
        <w:rPr>
          <w:rFonts w:ascii="Courier New" w:hAnsi="Courier New" w:cs="Courier New"/>
          <w:sz w:val="24"/>
          <w:szCs w:val="24"/>
        </w:rPr>
        <w:t xml:space="preserve"> et al. (</w:t>
      </w:r>
      <w:r w:rsidRPr="00C97B25">
        <w:rPr>
          <w:rFonts w:ascii="Courier New" w:hAnsi="Courier New" w:cs="Courier New"/>
          <w:sz w:val="24"/>
          <w:szCs w:val="24"/>
        </w:rPr>
        <w:t>2022)</w:t>
      </w:r>
      <w:r>
        <w:rPr>
          <w:rFonts w:ascii="Courier New" w:hAnsi="Courier New" w:cs="Courier New"/>
          <w:sz w:val="24"/>
          <w:szCs w:val="24"/>
        </w:rPr>
        <w:t xml:space="preserve">, there is a lot of labor when it comes to the traditional way of recruiting </w:t>
      </w:r>
      <w:r>
        <w:rPr>
          <w:rFonts w:ascii="Courier New" w:hAnsi="Courier New" w:cs="Courier New"/>
          <w:sz w:val="24"/>
          <w:szCs w:val="24"/>
        </w:rPr>
        <w:lastRenderedPageBreak/>
        <w:t xml:space="preserve">people, which is why, having this kind of system, makes it easier, not just for the employer but also for the applicants.  There are also a lot of hurdles when it comes to online recruitment. Some of the users may face a lot of problems and difficulties in using this kind of system </w:t>
      </w:r>
      <w:r w:rsidRPr="001F34A2">
        <w:rPr>
          <w:rFonts w:ascii="Courier New" w:hAnsi="Courier New" w:cs="Courier New"/>
          <w:sz w:val="24"/>
          <w:szCs w:val="24"/>
        </w:rPr>
        <w:t>The benefits of virtual recruitment seem substantial yet concerns about hurdles are valid.</w:t>
      </w:r>
      <w:r>
        <w:rPr>
          <w:rFonts w:ascii="Courier New" w:hAnsi="Courier New" w:cs="Courier New"/>
          <w:sz w:val="24"/>
          <w:szCs w:val="24"/>
        </w:rPr>
        <w:t xml:space="preserve"> </w:t>
      </w:r>
      <w:r w:rsidRPr="001F34A2">
        <w:rPr>
          <w:rFonts w:ascii="Courier New" w:hAnsi="Courier New" w:cs="Courier New"/>
          <w:sz w:val="24"/>
          <w:szCs w:val="24"/>
        </w:rPr>
        <w:t xml:space="preserve">Moseson, </w:t>
      </w:r>
      <w:r>
        <w:rPr>
          <w:rFonts w:ascii="Courier New" w:hAnsi="Courier New" w:cs="Courier New"/>
          <w:sz w:val="24"/>
          <w:szCs w:val="24"/>
        </w:rPr>
        <w:t>et al. (</w:t>
      </w:r>
      <w:r w:rsidRPr="001F34A2">
        <w:rPr>
          <w:rFonts w:ascii="Courier New" w:hAnsi="Courier New" w:cs="Courier New"/>
          <w:sz w:val="24"/>
          <w:szCs w:val="24"/>
        </w:rPr>
        <w:t>2020)</w:t>
      </w:r>
      <w:r w:rsidRPr="00607DC5">
        <w:t xml:space="preserve"> </w:t>
      </w:r>
      <w:r>
        <w:rPr>
          <w:rFonts w:ascii="Courier New" w:hAnsi="Courier New" w:cs="Courier New"/>
          <w:sz w:val="24"/>
          <w:szCs w:val="24"/>
        </w:rPr>
        <w:t>a</w:t>
      </w:r>
      <w:r w:rsidRPr="00607DC5">
        <w:rPr>
          <w:rFonts w:ascii="Courier New" w:hAnsi="Courier New" w:cs="Courier New"/>
          <w:sz w:val="24"/>
          <w:szCs w:val="24"/>
        </w:rPr>
        <w:t>dvancements in technology enable hospitality organizations to rely on digital recruitment efforts such as websites to attract applicants.</w:t>
      </w:r>
      <w:r>
        <w:rPr>
          <w:rFonts w:ascii="Courier New" w:hAnsi="Courier New" w:cs="Courier New"/>
          <w:sz w:val="24"/>
          <w:szCs w:val="24"/>
        </w:rPr>
        <w:t xml:space="preserve"> </w:t>
      </w:r>
      <w:r w:rsidRPr="00607DC5">
        <w:rPr>
          <w:rFonts w:ascii="Courier New" w:hAnsi="Courier New" w:cs="Courier New"/>
          <w:sz w:val="24"/>
          <w:szCs w:val="24"/>
        </w:rPr>
        <w:t>Lee</w:t>
      </w:r>
      <w:r>
        <w:rPr>
          <w:rFonts w:ascii="Courier New" w:hAnsi="Courier New" w:cs="Courier New"/>
          <w:sz w:val="24"/>
          <w:szCs w:val="24"/>
        </w:rPr>
        <w:t>, et al. (</w:t>
      </w:r>
      <w:r w:rsidRPr="00607DC5">
        <w:rPr>
          <w:rFonts w:ascii="Courier New" w:hAnsi="Courier New" w:cs="Courier New"/>
          <w:sz w:val="24"/>
          <w:szCs w:val="24"/>
        </w:rPr>
        <w:t>2021)</w:t>
      </w:r>
      <w:r w:rsidRPr="00AD1437">
        <w:t xml:space="preserve"> </w:t>
      </w:r>
      <w:r w:rsidRPr="00AD1437">
        <w:rPr>
          <w:rFonts w:ascii="Courier New" w:hAnsi="Courier New" w:cs="Courier New"/>
          <w:sz w:val="24"/>
          <w:szCs w:val="24"/>
        </w:rPr>
        <w:t>These recruitment agencies act as the middleman to connect the company to its potential applicants, and many go beyond this role to conduct remote interviews and assessments on behalf of the company</w:t>
      </w:r>
      <w:r w:rsidRPr="005504E1">
        <w:rPr>
          <w:rFonts w:ascii="Courier New" w:hAnsi="Courier New" w:cs="Courier New"/>
          <w:sz w:val="24"/>
          <w:szCs w:val="24"/>
        </w:rPr>
        <w:t>. (Ho, &amp; Henry, 2021)</w:t>
      </w:r>
      <w:r>
        <w:rPr>
          <w:rFonts w:ascii="Courier New" w:hAnsi="Courier New" w:cs="Courier New"/>
          <w:sz w:val="24"/>
          <w:szCs w:val="24"/>
        </w:rPr>
        <w:t xml:space="preserve"> </w:t>
      </w:r>
    </w:p>
    <w:p w14:paraId="0FEE8B9F" w14:textId="77777777" w:rsidR="00D931A8" w:rsidRPr="00231276" w:rsidRDefault="00D931A8" w:rsidP="00D931A8">
      <w:pPr>
        <w:spacing w:line="480" w:lineRule="auto"/>
        <w:jc w:val="both"/>
        <w:rPr>
          <w:rFonts w:ascii="Courier New" w:hAnsi="Courier New" w:cs="Courier New"/>
          <w:sz w:val="24"/>
          <w:szCs w:val="24"/>
        </w:rPr>
      </w:pPr>
      <w:r>
        <w:rPr>
          <w:rFonts w:ascii="Courier New" w:hAnsi="Courier New" w:cs="Courier New"/>
          <w:sz w:val="24"/>
          <w:szCs w:val="24"/>
        </w:rPr>
        <w:tab/>
        <w:t xml:space="preserve">Since this portal will be exclusive for the applicant that has been scouted by the employers of the company, it will be safe for outside attacks or frauds who want to take the personal information of the applicants. </w:t>
      </w:r>
      <w:r w:rsidRPr="00D76838">
        <w:rPr>
          <w:rFonts w:ascii="Courier New" w:hAnsi="Courier New" w:cs="Courier New"/>
          <w:sz w:val="24"/>
          <w:szCs w:val="24"/>
        </w:rPr>
        <w:t>With the increasing popularity and convenience of online job portals, it is critical at this stage to address the fraudulent activities, which these portals are susceptible to</w:t>
      </w:r>
      <w:r>
        <w:rPr>
          <w:rFonts w:ascii="Courier New" w:hAnsi="Courier New" w:cs="Courier New"/>
          <w:sz w:val="24"/>
          <w:szCs w:val="24"/>
        </w:rPr>
        <w:t>.</w:t>
      </w:r>
      <w:r w:rsidRPr="00C97B25">
        <w:t xml:space="preserve"> </w:t>
      </w:r>
      <w:r w:rsidRPr="00C97B25">
        <w:rPr>
          <w:rFonts w:ascii="Courier New" w:hAnsi="Courier New" w:cs="Courier New"/>
          <w:sz w:val="24"/>
          <w:szCs w:val="24"/>
        </w:rPr>
        <w:t>Ho &amp; Henry</w:t>
      </w:r>
      <w:r>
        <w:rPr>
          <w:rFonts w:ascii="Courier New" w:hAnsi="Courier New" w:cs="Courier New"/>
          <w:sz w:val="24"/>
          <w:szCs w:val="24"/>
        </w:rPr>
        <w:t xml:space="preserve"> (</w:t>
      </w:r>
      <w:r w:rsidRPr="00C97B25">
        <w:rPr>
          <w:rFonts w:ascii="Courier New" w:hAnsi="Courier New" w:cs="Courier New"/>
          <w:sz w:val="24"/>
          <w:szCs w:val="24"/>
        </w:rPr>
        <w:t>2021)</w:t>
      </w:r>
      <w:r w:rsidRPr="00333F40">
        <w:t xml:space="preserve"> </w:t>
      </w:r>
      <w:r>
        <w:rPr>
          <w:rFonts w:ascii="Courier New" w:hAnsi="Courier New" w:cs="Courier New"/>
        </w:rPr>
        <w:t>u</w:t>
      </w:r>
      <w:r w:rsidRPr="00333F40">
        <w:rPr>
          <w:rFonts w:ascii="Courier New" w:hAnsi="Courier New" w:cs="Courier New"/>
        </w:rPr>
        <w:t>sing online recruitment methods is logistically simpler compared to offline methods, since it can be done by placing ads on websites or sending automatic messages over the internet</w:t>
      </w:r>
      <w:r w:rsidRPr="00333F40">
        <w:t xml:space="preserve"> </w:t>
      </w:r>
      <w:r w:rsidRPr="00333F40">
        <w:rPr>
          <w:rFonts w:ascii="Courier New" w:hAnsi="Courier New" w:cs="Courier New"/>
          <w:sz w:val="24"/>
          <w:szCs w:val="24"/>
        </w:rPr>
        <w:lastRenderedPageBreak/>
        <w:t>(Blumenberg, Menezes, Gonçalves, Assunção, Wehrmeister, &amp; Barros, 2019</w:t>
      </w:r>
      <w:r>
        <w:rPr>
          <w:rFonts w:ascii="Courier New" w:hAnsi="Courier New" w:cs="Courier New"/>
          <w:sz w:val="24"/>
          <w:szCs w:val="24"/>
        </w:rPr>
        <w:t xml:space="preserve">). That statement also adds up for the reason on developing a system that will make it easier and safer for the company when it comes to recruiting workers. </w:t>
      </w:r>
      <w:r w:rsidRPr="00231276">
        <w:rPr>
          <w:rFonts w:ascii="Courier New" w:hAnsi="Courier New" w:cs="Courier New"/>
          <w:sz w:val="24"/>
          <w:szCs w:val="24"/>
        </w:rPr>
        <w:t>Ramadhani, et al. (2019)</w:t>
      </w:r>
      <w:r>
        <w:rPr>
          <w:rFonts w:ascii="Courier New" w:hAnsi="Courier New" w:cs="Courier New"/>
          <w:sz w:val="24"/>
          <w:szCs w:val="24"/>
        </w:rPr>
        <w:t xml:space="preserve"> r</w:t>
      </w:r>
      <w:r w:rsidRPr="00231276">
        <w:rPr>
          <w:rFonts w:ascii="Courier New" w:hAnsi="Courier New" w:cs="Courier New"/>
          <w:sz w:val="24"/>
          <w:szCs w:val="24"/>
        </w:rPr>
        <w:t>ecruitment is important for organization because it has function of collecting human resources toward the organization</w:t>
      </w:r>
      <w:r>
        <w:rPr>
          <w:rFonts w:ascii="Courier New" w:hAnsi="Courier New" w:cs="Courier New"/>
          <w:sz w:val="24"/>
          <w:szCs w:val="24"/>
        </w:rPr>
        <w:t xml:space="preserve">. Through web development, it will make recruitments a lot faster and efficient. The cost will also be lessened, because physical labors will not be needed for the most important parts in recruiting and for the application processes of the applicants. There are some companies that use this kind of method on recruiting people to work and taking advantage of the internet, </w:t>
      </w:r>
      <w:proofErr w:type="spellStart"/>
      <w:r w:rsidRPr="00134B30">
        <w:rPr>
          <w:rFonts w:ascii="Courier New" w:hAnsi="Courier New" w:cs="Courier New"/>
          <w:sz w:val="24"/>
          <w:szCs w:val="24"/>
        </w:rPr>
        <w:t>Hashiyana</w:t>
      </w:r>
      <w:proofErr w:type="spellEnd"/>
      <w:r w:rsidRPr="00134B30">
        <w:rPr>
          <w:rFonts w:ascii="Courier New" w:hAnsi="Courier New" w:cs="Courier New"/>
          <w:sz w:val="24"/>
          <w:szCs w:val="24"/>
        </w:rPr>
        <w:t>,</w:t>
      </w:r>
      <w:r>
        <w:rPr>
          <w:rFonts w:ascii="Courier New" w:hAnsi="Courier New" w:cs="Courier New"/>
          <w:sz w:val="24"/>
          <w:szCs w:val="24"/>
        </w:rPr>
        <w:t xml:space="preserve"> et al.</w:t>
      </w:r>
      <w:r w:rsidRPr="00134B30">
        <w:rPr>
          <w:rFonts w:ascii="Courier New" w:hAnsi="Courier New" w:cs="Courier New"/>
          <w:sz w:val="24"/>
          <w:szCs w:val="24"/>
        </w:rPr>
        <w:t xml:space="preserve"> (2021)</w:t>
      </w:r>
      <w:r>
        <w:rPr>
          <w:rFonts w:ascii="Courier New" w:hAnsi="Courier New" w:cs="Courier New"/>
          <w:sz w:val="24"/>
          <w:szCs w:val="24"/>
        </w:rPr>
        <w:t xml:space="preserve">. Before using this kind of </w:t>
      </w:r>
      <w:proofErr w:type="gramStart"/>
      <w:r>
        <w:rPr>
          <w:rFonts w:ascii="Courier New" w:hAnsi="Courier New" w:cs="Courier New"/>
          <w:sz w:val="24"/>
          <w:szCs w:val="24"/>
        </w:rPr>
        <w:t>method</w:t>
      </w:r>
      <w:proofErr w:type="gramEnd"/>
      <w:r>
        <w:rPr>
          <w:rFonts w:ascii="Courier New" w:hAnsi="Courier New" w:cs="Courier New"/>
          <w:sz w:val="24"/>
          <w:szCs w:val="24"/>
        </w:rPr>
        <w:t xml:space="preserve"> we should have a proper grasp on using this more effectively for us not to encounter some errors when we’re at it. It is undeniably an effective method that will be innovative when it comes to recruiting people to work for companies.</w:t>
      </w:r>
    </w:p>
    <w:p w14:paraId="4D6F1021" w14:textId="77777777" w:rsidR="00D931A8" w:rsidRDefault="00D931A8" w:rsidP="00D931A8">
      <w:pPr>
        <w:spacing w:line="480" w:lineRule="auto"/>
        <w:rPr>
          <w:rFonts w:ascii="Courier New" w:hAnsi="Courier New" w:cs="Courier New"/>
          <w:sz w:val="24"/>
          <w:szCs w:val="24"/>
          <w:lang w:val="en-US"/>
        </w:rPr>
      </w:pPr>
    </w:p>
    <w:p w14:paraId="38CA92C3" w14:textId="77777777" w:rsidR="00D931A8" w:rsidRDefault="00D931A8" w:rsidP="00D931A8">
      <w:pPr>
        <w:spacing w:line="480" w:lineRule="auto"/>
        <w:rPr>
          <w:rFonts w:ascii="Courier New" w:hAnsi="Courier New" w:cs="Courier New"/>
          <w:sz w:val="24"/>
          <w:szCs w:val="24"/>
          <w:lang w:val="en-US"/>
        </w:rPr>
      </w:pPr>
    </w:p>
    <w:p w14:paraId="193680EE" w14:textId="77777777" w:rsidR="00CD003A" w:rsidRDefault="00CD003A" w:rsidP="00CD4FBC">
      <w:pPr>
        <w:spacing w:line="480" w:lineRule="auto"/>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7CF4A14C" w14:textId="20A8A2C5" w:rsidR="0032598C" w:rsidRPr="00F95FF1" w:rsidRDefault="00DE2F5A" w:rsidP="00F95FF1">
      <w:pPr>
        <w:spacing w:line="480" w:lineRule="auto"/>
        <w:jc w:val="both"/>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1E464EE2"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Blumenberg, C., Menezes, A. M. B., Gonçalves, H., Assunção, M. C. F., Wehrmeister, F. C., &amp; Barros, A. J. D. (2019). </w:t>
      </w:r>
      <w:proofErr w:type="gramStart"/>
      <w:r w:rsidRPr="00F95FF1">
        <w:rPr>
          <w:rFonts w:ascii="Courier New" w:hAnsi="Courier New" w:cs="Courier New"/>
        </w:rPr>
        <w:t>How</w:t>
      </w:r>
      <w:proofErr w:type="gramEnd"/>
      <w:r w:rsidRPr="00F95FF1">
        <w:rPr>
          <w:rFonts w:ascii="Courier New" w:hAnsi="Courier New" w:cs="Courier New"/>
        </w:rPr>
        <w:t xml:space="preserve"> different online recruitment methods impact on recruitment rates for the web-based </w:t>
      </w:r>
      <w:proofErr w:type="spellStart"/>
      <w:r w:rsidRPr="00F95FF1">
        <w:rPr>
          <w:rFonts w:ascii="Courier New" w:hAnsi="Courier New" w:cs="Courier New"/>
        </w:rPr>
        <w:t>coortesnaweb</w:t>
      </w:r>
      <w:proofErr w:type="spellEnd"/>
      <w:r w:rsidRPr="00F95FF1">
        <w:rPr>
          <w:rFonts w:ascii="Courier New" w:hAnsi="Courier New" w:cs="Courier New"/>
        </w:rPr>
        <w:t xml:space="preserve"> project: A </w:t>
      </w:r>
      <w:proofErr w:type="spellStart"/>
      <w:r w:rsidRPr="00F95FF1">
        <w:rPr>
          <w:rFonts w:ascii="Courier New" w:hAnsi="Courier New" w:cs="Courier New"/>
        </w:rPr>
        <w:t>randomised</w:t>
      </w:r>
      <w:proofErr w:type="spellEnd"/>
      <w:r w:rsidRPr="00F95FF1">
        <w:rPr>
          <w:rFonts w:ascii="Courier New" w:hAnsi="Courier New" w:cs="Courier New"/>
        </w:rPr>
        <w:t xml:space="preserve"> trial. </w:t>
      </w:r>
      <w:r w:rsidRPr="00F95FF1">
        <w:rPr>
          <w:rFonts w:ascii="Courier New" w:hAnsi="Courier New" w:cs="Courier New"/>
          <w:i/>
          <w:iCs/>
        </w:rPr>
        <w:t>BMC Medical Research Methodology</w:t>
      </w:r>
      <w:r w:rsidRPr="00F95FF1">
        <w:rPr>
          <w:rFonts w:ascii="Courier New" w:hAnsi="Courier New" w:cs="Courier New"/>
        </w:rPr>
        <w:t xml:space="preserve">, </w:t>
      </w:r>
      <w:r w:rsidRPr="00F95FF1">
        <w:rPr>
          <w:rFonts w:ascii="Courier New" w:hAnsi="Courier New" w:cs="Courier New"/>
          <w:i/>
          <w:iCs/>
        </w:rPr>
        <w:t>19</w:t>
      </w:r>
      <w:r w:rsidRPr="00F95FF1">
        <w:rPr>
          <w:rFonts w:ascii="Courier New" w:hAnsi="Courier New" w:cs="Courier New"/>
        </w:rPr>
        <w:t xml:space="preserve">(1), 1–9. </w:t>
      </w:r>
      <w:hyperlink r:id="rId13" w:history="1">
        <w:r w:rsidRPr="00F95FF1">
          <w:rPr>
            <w:rStyle w:val="Hyperlink"/>
            <w:rFonts w:ascii="Courier New" w:hAnsi="Courier New" w:cs="Courier New"/>
          </w:rPr>
          <w:t>https://doi.org/10.1186/s12874-019-0767-z</w:t>
        </w:r>
      </w:hyperlink>
    </w:p>
    <w:p w14:paraId="13F899FA" w14:textId="72D447F0" w:rsidR="00091BFD" w:rsidRPr="00F95FF1" w:rsidRDefault="00091BFD" w:rsidP="00F95FF1">
      <w:pPr>
        <w:pStyle w:val="NormalWeb"/>
        <w:spacing w:before="0" w:beforeAutospacing="0" w:after="0" w:afterAutospacing="0" w:line="480" w:lineRule="auto"/>
        <w:ind w:left="720" w:hanging="720"/>
        <w:jc w:val="both"/>
        <w:rPr>
          <w:rFonts w:ascii="Courier New" w:hAnsi="Courier New" w:cs="Courier New"/>
        </w:rPr>
      </w:pPr>
      <w:r w:rsidRPr="00F95FF1">
        <w:rPr>
          <w:rFonts w:ascii="Courier New" w:hAnsi="Courier New" w:cs="Courier New"/>
        </w:rPr>
        <w:t xml:space="preserve">Edirisinghe, S. M. (2020). </w:t>
      </w:r>
      <w:r w:rsidRPr="00F95FF1">
        <w:rPr>
          <w:rFonts w:ascii="Courier New" w:hAnsi="Courier New" w:cs="Courier New"/>
          <w:i/>
          <w:iCs/>
        </w:rPr>
        <w:t>Recruitment Management System</w:t>
      </w:r>
      <w:r w:rsidRPr="00F95FF1">
        <w:rPr>
          <w:rFonts w:ascii="Courier New" w:hAnsi="Courier New" w:cs="Courier New"/>
        </w:rPr>
        <w:t xml:space="preserve">. </w:t>
      </w:r>
      <w:hyperlink r:id="rId14" w:history="1">
        <w:r w:rsidRPr="00F95FF1">
          <w:rPr>
            <w:rStyle w:val="Hyperlink"/>
            <w:rFonts w:ascii="Courier New" w:hAnsi="Courier New" w:cs="Courier New"/>
          </w:rPr>
          <w:t>https://dl.ucsc.cmb.ac.lk/jspui/bitstream/123456789/4486/1/2017%20MIT%20017.pdf</w:t>
        </w:r>
      </w:hyperlink>
    </w:p>
    <w:p w14:paraId="6396B7DE" w14:textId="3F7080AF" w:rsidR="00091BFD" w:rsidRPr="00F95FF1" w:rsidRDefault="00091BFD"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Grace, M., Ventura, G., &amp; </w:t>
      </w:r>
      <w:proofErr w:type="spellStart"/>
      <w:r w:rsidRPr="00F95FF1">
        <w:rPr>
          <w:rFonts w:ascii="Courier New" w:hAnsi="Courier New" w:cs="Courier New"/>
        </w:rPr>
        <w:t>Bringula</w:t>
      </w:r>
      <w:proofErr w:type="spellEnd"/>
      <w:r w:rsidRPr="00F95FF1">
        <w:rPr>
          <w:rFonts w:ascii="Courier New" w:hAnsi="Courier New" w:cs="Courier New"/>
        </w:rPr>
        <w:t xml:space="preserve">, R. P. (2013). </w:t>
      </w:r>
      <w:r w:rsidRPr="00F95FF1">
        <w:rPr>
          <w:rFonts w:ascii="Courier New" w:hAnsi="Courier New" w:cs="Courier New"/>
          <w:i/>
          <w:iCs/>
        </w:rPr>
        <w:t>Effectiveness of Online Job Recruitment System: Evidence from the University of the East</w:t>
      </w:r>
      <w:r w:rsidRPr="00F95FF1">
        <w:rPr>
          <w:rFonts w:ascii="Courier New" w:hAnsi="Courier New" w:cs="Courier New"/>
        </w:rPr>
        <w:t>. www.IJCSI.org</w:t>
      </w:r>
    </w:p>
    <w:p w14:paraId="31542E9F"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Ho, D., &amp; Henry, A. (2021). Constraints imposed on the creative cover letter writing by digital online job advertisements. </w:t>
      </w:r>
      <w:r w:rsidRPr="00F95FF1">
        <w:rPr>
          <w:rFonts w:ascii="Courier New" w:hAnsi="Courier New" w:cs="Courier New"/>
          <w:i/>
          <w:iCs/>
        </w:rPr>
        <w:t>Australian Journal of Applied Linguistics</w:t>
      </w:r>
      <w:r w:rsidRPr="00F95FF1">
        <w:rPr>
          <w:rFonts w:ascii="Courier New" w:hAnsi="Courier New" w:cs="Courier New"/>
        </w:rPr>
        <w:t xml:space="preserve">, </w:t>
      </w:r>
      <w:r w:rsidRPr="00F95FF1">
        <w:rPr>
          <w:rFonts w:ascii="Courier New" w:hAnsi="Courier New" w:cs="Courier New"/>
          <w:i/>
          <w:iCs/>
        </w:rPr>
        <w:t>4</w:t>
      </w:r>
      <w:r w:rsidRPr="00F95FF1">
        <w:rPr>
          <w:rFonts w:ascii="Courier New" w:hAnsi="Courier New" w:cs="Courier New"/>
        </w:rPr>
        <w:t xml:space="preserve">(3), 132–148. </w:t>
      </w:r>
      <w:hyperlink r:id="rId15" w:history="1">
        <w:r w:rsidRPr="00F95FF1">
          <w:rPr>
            <w:rStyle w:val="Hyperlink"/>
            <w:rFonts w:ascii="Courier New" w:hAnsi="Courier New" w:cs="Courier New"/>
          </w:rPr>
          <w:t>https://doi.org/10.29140/ajal.v4n3.513</w:t>
        </w:r>
      </w:hyperlink>
    </w:p>
    <w:p w14:paraId="480A53DC" w14:textId="77777777" w:rsidR="00F95FF1" w:rsidRPr="00F95FF1" w:rsidRDefault="00F95FF1"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Karaoglu</w:t>
      </w:r>
      <w:proofErr w:type="spellEnd"/>
      <w:r w:rsidRPr="00F95FF1">
        <w:rPr>
          <w:rFonts w:ascii="Courier New" w:hAnsi="Courier New" w:cs="Courier New"/>
        </w:rPr>
        <w:t xml:space="preserve">, G., </w:t>
      </w:r>
      <w:proofErr w:type="spellStart"/>
      <w:r w:rsidRPr="00F95FF1">
        <w:rPr>
          <w:rFonts w:ascii="Courier New" w:hAnsi="Courier New" w:cs="Courier New"/>
        </w:rPr>
        <w:t>Hargittai</w:t>
      </w:r>
      <w:proofErr w:type="spellEnd"/>
      <w:r w:rsidRPr="00F95FF1">
        <w:rPr>
          <w:rFonts w:ascii="Courier New" w:hAnsi="Courier New" w:cs="Courier New"/>
        </w:rPr>
        <w:t xml:space="preserve">, E., &amp; Nguyen, M. H. (2022). Inequality in online job searching in the age of social </w:t>
      </w:r>
      <w:r w:rsidRPr="00F95FF1">
        <w:rPr>
          <w:rFonts w:ascii="Courier New" w:hAnsi="Courier New" w:cs="Courier New"/>
        </w:rPr>
        <w:lastRenderedPageBreak/>
        <w:t xml:space="preserve">media. </w:t>
      </w:r>
      <w:r w:rsidRPr="00F95FF1">
        <w:rPr>
          <w:rFonts w:ascii="Courier New" w:hAnsi="Courier New" w:cs="Courier New"/>
          <w:i/>
          <w:iCs/>
        </w:rPr>
        <w:t>Information Communication and Society</w:t>
      </w:r>
      <w:r w:rsidRPr="00F95FF1">
        <w:rPr>
          <w:rFonts w:ascii="Courier New" w:hAnsi="Courier New" w:cs="Courier New"/>
        </w:rPr>
        <w:t xml:space="preserve">, </w:t>
      </w:r>
      <w:r w:rsidRPr="00F95FF1">
        <w:rPr>
          <w:rFonts w:ascii="Courier New" w:hAnsi="Courier New" w:cs="Courier New"/>
          <w:i/>
          <w:iCs/>
        </w:rPr>
        <w:t>25</w:t>
      </w:r>
      <w:r w:rsidRPr="00F95FF1">
        <w:rPr>
          <w:rFonts w:ascii="Courier New" w:hAnsi="Courier New" w:cs="Courier New"/>
        </w:rPr>
        <w:t xml:space="preserve">(12), 1826–1844. </w:t>
      </w:r>
      <w:hyperlink r:id="rId16" w:history="1">
        <w:r w:rsidRPr="00F95FF1">
          <w:rPr>
            <w:rStyle w:val="Hyperlink"/>
            <w:rFonts w:ascii="Courier New" w:hAnsi="Courier New" w:cs="Courier New"/>
          </w:rPr>
          <w:t>https://doi.org/10.1080/1369118X.2021.1897150</w:t>
        </w:r>
      </w:hyperlink>
    </w:p>
    <w:p w14:paraId="63858878" w14:textId="33A0A87B" w:rsidR="00091BFD" w:rsidRPr="00F95FF1" w:rsidRDefault="00091BFD"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Kmail</w:t>
      </w:r>
      <w:proofErr w:type="spellEnd"/>
      <w:r w:rsidRPr="00F95FF1">
        <w:rPr>
          <w:rFonts w:ascii="Courier New" w:hAnsi="Courier New" w:cs="Courier New"/>
        </w:rPr>
        <w:t xml:space="preserve">, A. B., Maree, M., </w:t>
      </w:r>
      <w:proofErr w:type="spellStart"/>
      <w:r w:rsidRPr="00F95FF1">
        <w:rPr>
          <w:rFonts w:ascii="Courier New" w:hAnsi="Courier New" w:cs="Courier New"/>
        </w:rPr>
        <w:t>Belkhatir</w:t>
      </w:r>
      <w:proofErr w:type="spellEnd"/>
      <w:r w:rsidRPr="00F95FF1">
        <w:rPr>
          <w:rFonts w:ascii="Courier New" w:hAnsi="Courier New" w:cs="Courier New"/>
        </w:rPr>
        <w:t xml:space="preserve">, M., &amp; </w:t>
      </w:r>
      <w:proofErr w:type="spellStart"/>
      <w:r w:rsidRPr="00F95FF1">
        <w:rPr>
          <w:rFonts w:ascii="Courier New" w:hAnsi="Courier New" w:cs="Courier New"/>
        </w:rPr>
        <w:t>Alhashmi</w:t>
      </w:r>
      <w:proofErr w:type="spellEnd"/>
      <w:r w:rsidRPr="00F95FF1">
        <w:rPr>
          <w:rFonts w:ascii="Courier New" w:hAnsi="Courier New" w:cs="Courier New"/>
        </w:rPr>
        <w:t xml:space="preserve">, S. M. (2016). An automatic online recruitment system based on exploiting multiple semantic resources and concept-relatedness measures. </w:t>
      </w:r>
      <w:r w:rsidRPr="00F95FF1">
        <w:rPr>
          <w:rFonts w:ascii="Courier New" w:hAnsi="Courier New" w:cs="Courier New"/>
          <w:i/>
          <w:iCs/>
        </w:rPr>
        <w:t>Proceedings - International Conference on Tools with Artificial Intelligence, ICTAI</w:t>
      </w:r>
      <w:r w:rsidRPr="00F95FF1">
        <w:rPr>
          <w:rFonts w:ascii="Courier New" w:hAnsi="Courier New" w:cs="Courier New"/>
        </w:rPr>
        <w:t xml:space="preserve">, </w:t>
      </w:r>
      <w:r w:rsidRPr="00F95FF1">
        <w:rPr>
          <w:rFonts w:ascii="Courier New" w:hAnsi="Courier New" w:cs="Courier New"/>
          <w:i/>
          <w:iCs/>
        </w:rPr>
        <w:t>2016</w:t>
      </w:r>
      <w:r w:rsidRPr="00F95FF1">
        <w:rPr>
          <w:rFonts w:ascii="Courier New" w:hAnsi="Courier New" w:cs="Courier New"/>
        </w:rPr>
        <w:t>-</w:t>
      </w:r>
      <w:r w:rsidRPr="00F95FF1">
        <w:rPr>
          <w:rFonts w:ascii="Courier New" w:hAnsi="Courier New" w:cs="Courier New"/>
          <w:i/>
          <w:iCs/>
        </w:rPr>
        <w:t>January</w:t>
      </w:r>
      <w:r w:rsidRPr="00F95FF1">
        <w:rPr>
          <w:rFonts w:ascii="Courier New" w:hAnsi="Courier New" w:cs="Courier New"/>
        </w:rPr>
        <w:t xml:space="preserve">, 620–627. </w:t>
      </w:r>
      <w:hyperlink r:id="rId17" w:history="1">
        <w:r w:rsidR="00490207" w:rsidRPr="00F95FF1">
          <w:rPr>
            <w:rStyle w:val="Hyperlink"/>
            <w:rFonts w:ascii="Courier New" w:hAnsi="Courier New" w:cs="Courier New"/>
          </w:rPr>
          <w:t>https://doi.org/10.1109/ICTAI.2015.95</w:t>
        </w:r>
      </w:hyperlink>
    </w:p>
    <w:p w14:paraId="5564A465"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Lee, L., Guzzo, R. F., Madera, J. M., &amp; </w:t>
      </w:r>
      <w:proofErr w:type="spellStart"/>
      <w:r w:rsidRPr="00F95FF1">
        <w:rPr>
          <w:rFonts w:ascii="Courier New" w:hAnsi="Courier New" w:cs="Courier New"/>
        </w:rPr>
        <w:t>Guchait</w:t>
      </w:r>
      <w:proofErr w:type="spellEnd"/>
      <w:r w:rsidRPr="00F95FF1">
        <w:rPr>
          <w:rFonts w:ascii="Courier New" w:hAnsi="Courier New" w:cs="Courier New"/>
        </w:rPr>
        <w:t xml:space="preserve">, P. (2021). Examining Applicant Online Recruitment: The Use of Fictitious Websites in Experimental Studies. </w:t>
      </w:r>
      <w:r w:rsidRPr="00F95FF1">
        <w:rPr>
          <w:rFonts w:ascii="Courier New" w:hAnsi="Courier New" w:cs="Courier New"/>
          <w:i/>
          <w:iCs/>
        </w:rPr>
        <w:t>Cornell Hospitality Quarterly</w:t>
      </w:r>
      <w:r w:rsidRPr="00F95FF1">
        <w:rPr>
          <w:rFonts w:ascii="Courier New" w:hAnsi="Courier New" w:cs="Courier New"/>
        </w:rPr>
        <w:t xml:space="preserve">, </w:t>
      </w:r>
      <w:r w:rsidRPr="00F95FF1">
        <w:rPr>
          <w:rFonts w:ascii="Courier New" w:hAnsi="Courier New" w:cs="Courier New"/>
          <w:i/>
          <w:iCs/>
        </w:rPr>
        <w:t>62</w:t>
      </w:r>
      <w:r w:rsidRPr="00F95FF1">
        <w:rPr>
          <w:rFonts w:ascii="Courier New" w:hAnsi="Courier New" w:cs="Courier New"/>
        </w:rPr>
        <w:t xml:space="preserve">(1), 76–88. </w:t>
      </w:r>
      <w:hyperlink r:id="rId18" w:history="1">
        <w:r w:rsidRPr="00F95FF1">
          <w:rPr>
            <w:rStyle w:val="Hyperlink"/>
            <w:rFonts w:ascii="Courier New" w:hAnsi="Courier New" w:cs="Courier New"/>
          </w:rPr>
          <w:t>https://doi.org/10.1177/1938965520965223</w:t>
        </w:r>
      </w:hyperlink>
    </w:p>
    <w:p w14:paraId="00BD9F36" w14:textId="04E2E527" w:rsidR="00490207" w:rsidRPr="00F95FF1" w:rsidRDefault="00490207"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Malki, Z., </w:t>
      </w:r>
      <w:proofErr w:type="spellStart"/>
      <w:r w:rsidRPr="00F95FF1">
        <w:rPr>
          <w:rFonts w:ascii="Courier New" w:hAnsi="Courier New" w:cs="Courier New"/>
        </w:rPr>
        <w:t>Atlam</w:t>
      </w:r>
      <w:proofErr w:type="spellEnd"/>
      <w:r w:rsidRPr="00F95FF1">
        <w:rPr>
          <w:rFonts w:ascii="Courier New" w:hAnsi="Courier New" w:cs="Courier New"/>
        </w:rPr>
        <w:t xml:space="preserve">, E., Malki, Z., &amp; </w:t>
      </w:r>
      <w:proofErr w:type="spellStart"/>
      <w:r w:rsidRPr="00F95FF1">
        <w:rPr>
          <w:rFonts w:ascii="Courier New" w:hAnsi="Courier New" w:cs="Courier New"/>
        </w:rPr>
        <w:t>Atlam</w:t>
      </w:r>
      <w:proofErr w:type="spellEnd"/>
      <w:r w:rsidRPr="00F95FF1">
        <w:rPr>
          <w:rFonts w:ascii="Courier New" w:hAnsi="Courier New" w:cs="Courier New"/>
        </w:rPr>
        <w:t xml:space="preserve">, E. (2021). Graduate Students and Companies Web Based E-Recruitment System. </w:t>
      </w:r>
      <w:r w:rsidRPr="00F95FF1">
        <w:rPr>
          <w:rFonts w:ascii="Courier New" w:hAnsi="Courier New" w:cs="Courier New"/>
          <w:i/>
          <w:iCs/>
        </w:rPr>
        <w:t>Journal of Computer and Communications</w:t>
      </w:r>
      <w:r w:rsidRPr="00F95FF1">
        <w:rPr>
          <w:rFonts w:ascii="Courier New" w:hAnsi="Courier New" w:cs="Courier New"/>
        </w:rPr>
        <w:t xml:space="preserve">, </w:t>
      </w:r>
      <w:r w:rsidRPr="00F95FF1">
        <w:rPr>
          <w:rFonts w:ascii="Courier New" w:hAnsi="Courier New" w:cs="Courier New"/>
          <w:i/>
          <w:iCs/>
        </w:rPr>
        <w:t>9</w:t>
      </w:r>
      <w:r w:rsidRPr="00F95FF1">
        <w:rPr>
          <w:rFonts w:ascii="Courier New" w:hAnsi="Courier New" w:cs="Courier New"/>
        </w:rPr>
        <w:t>(9), 71–84. https://doi.org/10.4236/JCC.2021.99005</w:t>
      </w:r>
    </w:p>
    <w:p w14:paraId="349B72A9"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Moseson, H., Kumar, S., &amp; </w:t>
      </w:r>
      <w:proofErr w:type="spellStart"/>
      <w:r w:rsidRPr="00F95FF1">
        <w:rPr>
          <w:rFonts w:ascii="Courier New" w:hAnsi="Courier New" w:cs="Courier New"/>
        </w:rPr>
        <w:t>Juusola</w:t>
      </w:r>
      <w:proofErr w:type="spellEnd"/>
      <w:r w:rsidRPr="00F95FF1">
        <w:rPr>
          <w:rFonts w:ascii="Courier New" w:hAnsi="Courier New" w:cs="Courier New"/>
        </w:rPr>
        <w:t xml:space="preserve">, J. L. (2020). Comparison of study samples recruited with virtual versus traditional recruitment methods. </w:t>
      </w:r>
      <w:r w:rsidRPr="00F95FF1">
        <w:rPr>
          <w:rFonts w:ascii="Courier New" w:hAnsi="Courier New" w:cs="Courier New"/>
          <w:i/>
          <w:iCs/>
        </w:rPr>
        <w:t xml:space="preserve">Contemporary Clinical Trials </w:t>
      </w:r>
      <w:r w:rsidRPr="00F95FF1">
        <w:rPr>
          <w:rFonts w:ascii="Courier New" w:hAnsi="Courier New" w:cs="Courier New"/>
          <w:i/>
          <w:iCs/>
        </w:rPr>
        <w:lastRenderedPageBreak/>
        <w:t>Communications</w:t>
      </w:r>
      <w:r w:rsidRPr="00F95FF1">
        <w:rPr>
          <w:rFonts w:ascii="Courier New" w:hAnsi="Courier New" w:cs="Courier New"/>
        </w:rPr>
        <w:t xml:space="preserve">, </w:t>
      </w:r>
      <w:r w:rsidRPr="00F95FF1">
        <w:rPr>
          <w:rFonts w:ascii="Courier New" w:hAnsi="Courier New" w:cs="Courier New"/>
          <w:i/>
          <w:iCs/>
        </w:rPr>
        <w:t>19</w:t>
      </w:r>
      <w:r w:rsidRPr="00F95FF1">
        <w:rPr>
          <w:rFonts w:ascii="Courier New" w:hAnsi="Courier New" w:cs="Courier New"/>
        </w:rPr>
        <w:t xml:space="preserve">, 100590. </w:t>
      </w:r>
      <w:hyperlink r:id="rId19" w:history="1">
        <w:r w:rsidRPr="00F95FF1">
          <w:rPr>
            <w:rStyle w:val="Hyperlink"/>
            <w:rFonts w:ascii="Courier New" w:hAnsi="Courier New" w:cs="Courier New"/>
          </w:rPr>
          <w:t>https://doi.org/10.1016/j.conctc.2020.100590</w:t>
        </w:r>
      </w:hyperlink>
    </w:p>
    <w:p w14:paraId="66926DE9" w14:textId="77777777" w:rsidR="00490207" w:rsidRPr="00F95FF1" w:rsidRDefault="00490207" w:rsidP="00F95FF1">
      <w:pPr>
        <w:pStyle w:val="NormalWeb"/>
        <w:spacing w:before="0" w:beforeAutospacing="0" w:after="0" w:afterAutospacing="0" w:line="480" w:lineRule="auto"/>
        <w:ind w:left="720" w:hanging="720"/>
        <w:jc w:val="both"/>
        <w:rPr>
          <w:rFonts w:ascii="Courier New" w:hAnsi="Courier New" w:cs="Courier New"/>
        </w:rPr>
      </w:pPr>
      <w:proofErr w:type="spellStart"/>
      <w:proofErr w:type="gramStart"/>
      <w:r w:rsidRPr="00F95FF1">
        <w:rPr>
          <w:rFonts w:ascii="Courier New" w:hAnsi="Courier New" w:cs="Courier New"/>
        </w:rPr>
        <w:t>Obipi</w:t>
      </w:r>
      <w:proofErr w:type="spellEnd"/>
      <w:r w:rsidRPr="00F95FF1">
        <w:rPr>
          <w:rFonts w:ascii="Courier New" w:hAnsi="Courier New" w:cs="Courier New"/>
        </w:rPr>
        <w:t xml:space="preserve"> ,</w:t>
      </w:r>
      <w:proofErr w:type="gramEnd"/>
      <w:r w:rsidRPr="00F95FF1">
        <w:rPr>
          <w:rFonts w:ascii="Courier New" w:hAnsi="Courier New" w:cs="Courier New"/>
        </w:rPr>
        <w:t xml:space="preserve"> I. O., &amp; Kalio, N. (2018). Recruitment Management System and Employee Procurement in the Oil and Gas Sector in Nigeria. </w:t>
      </w:r>
      <w:r w:rsidRPr="00F95FF1">
        <w:rPr>
          <w:rFonts w:ascii="Courier New" w:hAnsi="Courier New" w:cs="Courier New"/>
          <w:i/>
          <w:iCs/>
        </w:rPr>
        <w:t>International Journal of Human Resource Management and Research</w:t>
      </w:r>
      <w:r w:rsidRPr="00F95FF1">
        <w:rPr>
          <w:rFonts w:ascii="Courier New" w:hAnsi="Courier New" w:cs="Courier New"/>
        </w:rPr>
        <w:t xml:space="preserve">, </w:t>
      </w:r>
      <w:r w:rsidRPr="00F95FF1">
        <w:rPr>
          <w:rFonts w:ascii="Courier New" w:hAnsi="Courier New" w:cs="Courier New"/>
          <w:i/>
          <w:iCs/>
        </w:rPr>
        <w:t>8</w:t>
      </w:r>
      <w:r w:rsidRPr="00F95FF1">
        <w:rPr>
          <w:rFonts w:ascii="Courier New" w:hAnsi="Courier New" w:cs="Courier New"/>
        </w:rPr>
        <w:t>(2), 7–18. https://doi.org/10.24247/ijhrmrapr20182</w:t>
      </w:r>
    </w:p>
    <w:p w14:paraId="01845D60" w14:textId="77777777" w:rsidR="00F95FF1" w:rsidRPr="00F95FF1" w:rsidRDefault="00F95FF1" w:rsidP="00F95FF1">
      <w:pPr>
        <w:pStyle w:val="NormalWeb"/>
        <w:spacing w:line="480" w:lineRule="auto"/>
        <w:ind w:left="480" w:hanging="480"/>
        <w:jc w:val="both"/>
        <w:rPr>
          <w:rFonts w:ascii="Courier New" w:hAnsi="Courier New" w:cs="Courier New"/>
        </w:rPr>
      </w:pPr>
      <w:bookmarkStart w:id="0" w:name="_Hlk152545842"/>
      <w:proofErr w:type="spellStart"/>
      <w:r w:rsidRPr="00F95FF1">
        <w:rPr>
          <w:rFonts w:ascii="Courier New" w:hAnsi="Courier New" w:cs="Courier New"/>
        </w:rPr>
        <w:t>Prasetyaningtyas</w:t>
      </w:r>
      <w:proofErr w:type="spellEnd"/>
      <w:r w:rsidRPr="00F95FF1">
        <w:rPr>
          <w:rFonts w:ascii="Courier New" w:hAnsi="Courier New" w:cs="Courier New"/>
        </w:rPr>
        <w:t xml:space="preserve">, S. W., Sim, M., </w:t>
      </w:r>
      <w:proofErr w:type="spellStart"/>
      <w:r w:rsidRPr="00F95FF1">
        <w:rPr>
          <w:rFonts w:ascii="Courier New" w:hAnsi="Courier New" w:cs="Courier New"/>
        </w:rPr>
        <w:t>Triantoro</w:t>
      </w:r>
      <w:proofErr w:type="spellEnd"/>
      <w:r w:rsidRPr="00F95FF1">
        <w:rPr>
          <w:rFonts w:ascii="Courier New" w:hAnsi="Courier New" w:cs="Courier New"/>
        </w:rPr>
        <w:t>, B. H., &amp; Allen, A. (2022)</w:t>
      </w:r>
      <w:bookmarkEnd w:id="0"/>
      <w:r w:rsidRPr="00F95FF1">
        <w:rPr>
          <w:rFonts w:ascii="Courier New" w:hAnsi="Courier New" w:cs="Courier New"/>
        </w:rPr>
        <w:t xml:space="preserve">. THE USE OF EMPLOYER BRANDING DIMENSIONS TO ATTRACT FRESH GRADUATES. </w:t>
      </w:r>
      <w:proofErr w:type="spellStart"/>
      <w:r w:rsidRPr="00F95FF1">
        <w:rPr>
          <w:rFonts w:ascii="Courier New" w:hAnsi="Courier New" w:cs="Courier New"/>
          <w:i/>
          <w:iCs/>
        </w:rPr>
        <w:t>Jurnal</w:t>
      </w:r>
      <w:proofErr w:type="spellEnd"/>
      <w:r w:rsidRPr="00F95FF1">
        <w:rPr>
          <w:rFonts w:ascii="Courier New" w:hAnsi="Courier New" w:cs="Courier New"/>
          <w:i/>
          <w:iCs/>
        </w:rPr>
        <w:t xml:space="preserve"> </w:t>
      </w:r>
      <w:proofErr w:type="spellStart"/>
      <w:r w:rsidRPr="00F95FF1">
        <w:rPr>
          <w:rFonts w:ascii="Courier New" w:hAnsi="Courier New" w:cs="Courier New"/>
          <w:i/>
          <w:iCs/>
        </w:rPr>
        <w:t>Bisnis</w:t>
      </w:r>
      <w:proofErr w:type="spellEnd"/>
      <w:r w:rsidRPr="00F95FF1">
        <w:rPr>
          <w:rFonts w:ascii="Courier New" w:hAnsi="Courier New" w:cs="Courier New"/>
          <w:i/>
          <w:iCs/>
        </w:rPr>
        <w:t xml:space="preserve"> Dan </w:t>
      </w:r>
      <w:proofErr w:type="spellStart"/>
      <w:r w:rsidRPr="00F95FF1">
        <w:rPr>
          <w:rFonts w:ascii="Courier New" w:hAnsi="Courier New" w:cs="Courier New"/>
          <w:i/>
          <w:iCs/>
        </w:rPr>
        <w:t>Manajemen</w:t>
      </w:r>
      <w:proofErr w:type="spellEnd"/>
      <w:r w:rsidRPr="00F95FF1">
        <w:rPr>
          <w:rFonts w:ascii="Courier New" w:hAnsi="Courier New" w:cs="Courier New"/>
        </w:rPr>
        <w:t xml:space="preserve">, </w:t>
      </w:r>
      <w:r w:rsidRPr="00F95FF1">
        <w:rPr>
          <w:rFonts w:ascii="Courier New" w:hAnsi="Courier New" w:cs="Courier New"/>
          <w:i/>
          <w:iCs/>
        </w:rPr>
        <w:t>23</w:t>
      </w:r>
      <w:r w:rsidRPr="00F95FF1">
        <w:rPr>
          <w:rFonts w:ascii="Courier New" w:hAnsi="Courier New" w:cs="Courier New"/>
        </w:rPr>
        <w:t xml:space="preserve">(1), 3–15. </w:t>
      </w:r>
      <w:hyperlink r:id="rId20" w:history="1">
        <w:r w:rsidRPr="00F95FF1">
          <w:rPr>
            <w:rStyle w:val="Hyperlink"/>
            <w:rFonts w:ascii="Courier New" w:hAnsi="Courier New" w:cs="Courier New"/>
          </w:rPr>
          <w:t>https://doi.org/10.24198/JBM.V23I1.891</w:t>
        </w:r>
      </w:hyperlink>
    </w:p>
    <w:p w14:paraId="4E6797E2" w14:textId="77777777" w:rsidR="00091BFD" w:rsidRPr="00F95FF1" w:rsidRDefault="00091BFD"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Ramadhani, F., &amp; </w:t>
      </w:r>
      <w:proofErr w:type="spellStart"/>
      <w:r w:rsidRPr="00F95FF1">
        <w:rPr>
          <w:rFonts w:ascii="Courier New" w:hAnsi="Courier New" w:cs="Courier New"/>
        </w:rPr>
        <w:t>Zarlis</w:t>
      </w:r>
      <w:proofErr w:type="spellEnd"/>
      <w:r w:rsidRPr="00F95FF1">
        <w:rPr>
          <w:rFonts w:ascii="Courier New" w:hAnsi="Courier New" w:cs="Courier New"/>
        </w:rPr>
        <w:t xml:space="preserve">, M. (n.d.). </w:t>
      </w:r>
      <w:r w:rsidRPr="00F95FF1">
        <w:rPr>
          <w:rFonts w:ascii="Courier New" w:hAnsi="Courier New" w:cs="Courier New"/>
          <w:i/>
          <w:iCs/>
        </w:rPr>
        <w:t>Analysis of e-Recruitment System Design</w:t>
      </w:r>
      <w:r w:rsidRPr="00F95FF1">
        <w:rPr>
          <w:rFonts w:ascii="Courier New" w:hAnsi="Courier New" w:cs="Courier New"/>
        </w:rPr>
        <w:t>. https://doi.org/10.17706/ijeeee.2019.9.1.38-45</w:t>
      </w:r>
    </w:p>
    <w:p w14:paraId="700D6EFB" w14:textId="1B580DEB" w:rsidR="00091BFD" w:rsidRPr="00F95FF1" w:rsidRDefault="00091BFD"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Rosoiu</w:t>
      </w:r>
      <w:proofErr w:type="spellEnd"/>
      <w:r w:rsidRPr="00F95FF1">
        <w:rPr>
          <w:rFonts w:ascii="Courier New" w:hAnsi="Courier New" w:cs="Courier New"/>
        </w:rPr>
        <w:t xml:space="preserve">, O., &amp; Popescu, C. (n.d.). </w:t>
      </w:r>
      <w:r w:rsidRPr="00F95FF1">
        <w:rPr>
          <w:rFonts w:ascii="Courier New" w:hAnsi="Courier New" w:cs="Courier New"/>
          <w:i/>
          <w:iCs/>
        </w:rPr>
        <w:t>E-recruiting Platforms: Features that Influence the Efficiency of Online Recruitment Systems</w:t>
      </w:r>
      <w:r w:rsidRPr="00F95FF1">
        <w:rPr>
          <w:rFonts w:ascii="Courier New" w:hAnsi="Courier New" w:cs="Courier New"/>
        </w:rPr>
        <w:t>. https://doi.org/10.12948/issn14531305/20.2.2016.05</w:t>
      </w:r>
    </w:p>
    <w:p w14:paraId="4F4D7A47" w14:textId="2584BB2D" w:rsidR="00091BFD" w:rsidRPr="00F95FF1" w:rsidRDefault="00091BFD" w:rsidP="00F95FF1">
      <w:pPr>
        <w:pStyle w:val="NormalWeb"/>
        <w:spacing w:before="0" w:beforeAutospacing="0" w:after="0" w:afterAutospacing="0" w:line="480" w:lineRule="auto"/>
        <w:ind w:left="720" w:hanging="720"/>
        <w:jc w:val="both"/>
        <w:rPr>
          <w:rFonts w:ascii="Courier New" w:hAnsi="Courier New" w:cs="Courier New"/>
        </w:rPr>
      </w:pPr>
      <w:proofErr w:type="spellStart"/>
      <w:r w:rsidRPr="00F95FF1">
        <w:rPr>
          <w:rFonts w:ascii="Courier New" w:hAnsi="Courier New" w:cs="Courier New"/>
        </w:rPr>
        <w:t>Samoli</w:t>
      </w:r>
      <w:proofErr w:type="spellEnd"/>
      <w:r w:rsidRPr="00F95FF1">
        <w:rPr>
          <w:rFonts w:ascii="Courier New" w:hAnsi="Courier New" w:cs="Courier New"/>
        </w:rPr>
        <w:t xml:space="preserve">, C. (2021, May 20). </w:t>
      </w:r>
      <w:r w:rsidRPr="00F95FF1">
        <w:rPr>
          <w:rFonts w:ascii="Courier New" w:hAnsi="Courier New" w:cs="Courier New"/>
          <w:i/>
          <w:iCs/>
        </w:rPr>
        <w:t>How management systems drive value in business operations</w:t>
      </w:r>
      <w:r w:rsidRPr="00F95FF1">
        <w:rPr>
          <w:rFonts w:ascii="Courier New" w:hAnsi="Courier New" w:cs="Courier New"/>
        </w:rPr>
        <w:t xml:space="preserve">. Monday.com Blog. </w:t>
      </w:r>
      <w:r w:rsidRPr="00F95FF1">
        <w:rPr>
          <w:rFonts w:ascii="Courier New" w:hAnsi="Courier New" w:cs="Courier New"/>
        </w:rPr>
        <w:lastRenderedPageBreak/>
        <w:t>https://monday.com/blog/project-management/management-systems/</w:t>
      </w:r>
    </w:p>
    <w:p w14:paraId="23A97043" w14:textId="77777777" w:rsidR="00091BFD" w:rsidRPr="00F95FF1" w:rsidRDefault="00091BFD"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Sehgal, V. K., Jagtiani, A., Shah, M., Sharma, A., Jaiswal, A., &amp; Mehta, D. (2014). Job portal-A web application for geographically distributed multiple clients. </w:t>
      </w:r>
      <w:r w:rsidRPr="00F95FF1">
        <w:rPr>
          <w:rFonts w:ascii="Courier New" w:hAnsi="Courier New" w:cs="Courier New"/>
          <w:i/>
          <w:iCs/>
        </w:rPr>
        <w:t>Proceedings - 1st International Conference on Artificial Intelligence, Modelling and Simulation, AIMS 2013</w:t>
      </w:r>
      <w:r w:rsidRPr="00F95FF1">
        <w:rPr>
          <w:rFonts w:ascii="Courier New" w:hAnsi="Courier New" w:cs="Courier New"/>
        </w:rPr>
        <w:t>, 199–204. https://doi.org/10.1109/AIMS.2013.38</w:t>
      </w:r>
    </w:p>
    <w:p w14:paraId="1E830B56" w14:textId="77777777" w:rsidR="00091BFD" w:rsidRPr="00F95FF1" w:rsidRDefault="00091BFD" w:rsidP="00F95FF1">
      <w:pPr>
        <w:spacing w:line="480" w:lineRule="auto"/>
        <w:jc w:val="both"/>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22"/>
      <w:footerReference w:type="default" r:id="rId23"/>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1142" w14:textId="77777777" w:rsidR="00DC7D65" w:rsidRDefault="00DC7D65" w:rsidP="005F4654">
      <w:pPr>
        <w:spacing w:after="0" w:line="240" w:lineRule="auto"/>
      </w:pPr>
      <w:r>
        <w:separator/>
      </w:r>
    </w:p>
  </w:endnote>
  <w:endnote w:type="continuationSeparator" w:id="0">
    <w:p w14:paraId="1E30766A" w14:textId="77777777" w:rsidR="00DC7D65" w:rsidRDefault="00DC7D65"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087632"/>
      <w:docPartObj>
        <w:docPartGallery w:val="Page Numbers (Bottom of Page)"/>
        <w:docPartUnique/>
      </w:docPartObj>
    </w:sdtPr>
    <w:sdtEndPr>
      <w:rPr>
        <w:noProof/>
      </w:rPr>
    </w:sdtEndPr>
    <w:sdtContent>
      <w:p w14:paraId="46EE6020" w14:textId="6A40655D" w:rsidR="00CD003A" w:rsidRDefault="00CD00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F5797" w14:textId="77777777" w:rsidR="00DC7D65" w:rsidRDefault="00DC7D65" w:rsidP="005F4654">
      <w:pPr>
        <w:spacing w:after="0" w:line="240" w:lineRule="auto"/>
      </w:pPr>
      <w:r>
        <w:separator/>
      </w:r>
    </w:p>
  </w:footnote>
  <w:footnote w:type="continuationSeparator" w:id="0">
    <w:p w14:paraId="29A7BADE" w14:textId="77777777" w:rsidR="00DC7D65" w:rsidRDefault="00DC7D65"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DDFA" w14:textId="0CC1BB28" w:rsidR="00F4300E" w:rsidRDefault="00F4300E">
    <w:pPr>
      <w:pStyle w:val="Header"/>
      <w:jc w:val="right"/>
    </w:pPr>
  </w:p>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171FF"/>
    <w:rsid w:val="00036E45"/>
    <w:rsid w:val="00051AE0"/>
    <w:rsid w:val="00067B00"/>
    <w:rsid w:val="00080649"/>
    <w:rsid w:val="00091BFD"/>
    <w:rsid w:val="000C0561"/>
    <w:rsid w:val="000D0F27"/>
    <w:rsid w:val="000D3452"/>
    <w:rsid w:val="000D7EFA"/>
    <w:rsid w:val="000E43E2"/>
    <w:rsid w:val="000E4B1E"/>
    <w:rsid w:val="000F1BFD"/>
    <w:rsid w:val="00125B24"/>
    <w:rsid w:val="00164231"/>
    <w:rsid w:val="0018783B"/>
    <w:rsid w:val="001910F0"/>
    <w:rsid w:val="0019394C"/>
    <w:rsid w:val="001A0B68"/>
    <w:rsid w:val="001B45C8"/>
    <w:rsid w:val="001B7203"/>
    <w:rsid w:val="001C4979"/>
    <w:rsid w:val="001D6DD4"/>
    <w:rsid w:val="001F16D5"/>
    <w:rsid w:val="001F3523"/>
    <w:rsid w:val="00215997"/>
    <w:rsid w:val="00220873"/>
    <w:rsid w:val="002444C9"/>
    <w:rsid w:val="00255643"/>
    <w:rsid w:val="00270792"/>
    <w:rsid w:val="00277779"/>
    <w:rsid w:val="00281EB6"/>
    <w:rsid w:val="00283186"/>
    <w:rsid w:val="00297479"/>
    <w:rsid w:val="002A4853"/>
    <w:rsid w:val="002E0B49"/>
    <w:rsid w:val="002F3DED"/>
    <w:rsid w:val="002F463C"/>
    <w:rsid w:val="002F7C99"/>
    <w:rsid w:val="00310317"/>
    <w:rsid w:val="00310C11"/>
    <w:rsid w:val="003143BE"/>
    <w:rsid w:val="0032598C"/>
    <w:rsid w:val="00353078"/>
    <w:rsid w:val="00362BF4"/>
    <w:rsid w:val="00383432"/>
    <w:rsid w:val="003D507F"/>
    <w:rsid w:val="003E5BE1"/>
    <w:rsid w:val="003E7D46"/>
    <w:rsid w:val="00414D37"/>
    <w:rsid w:val="00424D97"/>
    <w:rsid w:val="00431472"/>
    <w:rsid w:val="00432CA2"/>
    <w:rsid w:val="00441861"/>
    <w:rsid w:val="00441912"/>
    <w:rsid w:val="004779E8"/>
    <w:rsid w:val="00490207"/>
    <w:rsid w:val="004B2CF9"/>
    <w:rsid w:val="004B4D1F"/>
    <w:rsid w:val="004C2CA9"/>
    <w:rsid w:val="004C6C21"/>
    <w:rsid w:val="0051563B"/>
    <w:rsid w:val="00522138"/>
    <w:rsid w:val="00534027"/>
    <w:rsid w:val="0055608F"/>
    <w:rsid w:val="0057791B"/>
    <w:rsid w:val="00587790"/>
    <w:rsid w:val="00592FE9"/>
    <w:rsid w:val="005949D7"/>
    <w:rsid w:val="005C78E5"/>
    <w:rsid w:val="005F175A"/>
    <w:rsid w:val="005F285B"/>
    <w:rsid w:val="005F4654"/>
    <w:rsid w:val="0061220A"/>
    <w:rsid w:val="00625C08"/>
    <w:rsid w:val="006430EB"/>
    <w:rsid w:val="00644E2A"/>
    <w:rsid w:val="006742F5"/>
    <w:rsid w:val="00686E18"/>
    <w:rsid w:val="006B16A8"/>
    <w:rsid w:val="006C161C"/>
    <w:rsid w:val="006D1A71"/>
    <w:rsid w:val="006F6148"/>
    <w:rsid w:val="0070697B"/>
    <w:rsid w:val="0072158F"/>
    <w:rsid w:val="00723508"/>
    <w:rsid w:val="00724AAB"/>
    <w:rsid w:val="00735E0E"/>
    <w:rsid w:val="00777366"/>
    <w:rsid w:val="00777788"/>
    <w:rsid w:val="00785AAF"/>
    <w:rsid w:val="007B418D"/>
    <w:rsid w:val="007C6ACB"/>
    <w:rsid w:val="007D24AE"/>
    <w:rsid w:val="007D7115"/>
    <w:rsid w:val="008006EE"/>
    <w:rsid w:val="00822E3B"/>
    <w:rsid w:val="00823D67"/>
    <w:rsid w:val="00832FB8"/>
    <w:rsid w:val="008336EE"/>
    <w:rsid w:val="00834383"/>
    <w:rsid w:val="00840EFB"/>
    <w:rsid w:val="008443B7"/>
    <w:rsid w:val="008702E3"/>
    <w:rsid w:val="00872BD1"/>
    <w:rsid w:val="00887D62"/>
    <w:rsid w:val="00892575"/>
    <w:rsid w:val="008A0A01"/>
    <w:rsid w:val="008A14C9"/>
    <w:rsid w:val="008B1BCF"/>
    <w:rsid w:val="009019CA"/>
    <w:rsid w:val="009027C1"/>
    <w:rsid w:val="00913F94"/>
    <w:rsid w:val="00922B05"/>
    <w:rsid w:val="00924219"/>
    <w:rsid w:val="009711C4"/>
    <w:rsid w:val="009866CD"/>
    <w:rsid w:val="009908A8"/>
    <w:rsid w:val="009A093B"/>
    <w:rsid w:val="009A140F"/>
    <w:rsid w:val="009A40CC"/>
    <w:rsid w:val="009B7DE2"/>
    <w:rsid w:val="009E2246"/>
    <w:rsid w:val="00A021ED"/>
    <w:rsid w:val="00A05E82"/>
    <w:rsid w:val="00A3043B"/>
    <w:rsid w:val="00A51ED8"/>
    <w:rsid w:val="00A55637"/>
    <w:rsid w:val="00A56ABC"/>
    <w:rsid w:val="00A80462"/>
    <w:rsid w:val="00A960B4"/>
    <w:rsid w:val="00AA0D3D"/>
    <w:rsid w:val="00AA55B9"/>
    <w:rsid w:val="00AE2877"/>
    <w:rsid w:val="00AE4DEB"/>
    <w:rsid w:val="00AF61E0"/>
    <w:rsid w:val="00AF7F7C"/>
    <w:rsid w:val="00B524DC"/>
    <w:rsid w:val="00B702A6"/>
    <w:rsid w:val="00B73232"/>
    <w:rsid w:val="00B94107"/>
    <w:rsid w:val="00BA3CBF"/>
    <w:rsid w:val="00BA65F8"/>
    <w:rsid w:val="00BA6A4E"/>
    <w:rsid w:val="00BB687D"/>
    <w:rsid w:val="00BC1875"/>
    <w:rsid w:val="00BC1C57"/>
    <w:rsid w:val="00BC3DFE"/>
    <w:rsid w:val="00BD1020"/>
    <w:rsid w:val="00BE62CD"/>
    <w:rsid w:val="00BF27C8"/>
    <w:rsid w:val="00C02A87"/>
    <w:rsid w:val="00C076D4"/>
    <w:rsid w:val="00C12CBF"/>
    <w:rsid w:val="00C23513"/>
    <w:rsid w:val="00C261F1"/>
    <w:rsid w:val="00C307FE"/>
    <w:rsid w:val="00C33C43"/>
    <w:rsid w:val="00C72D40"/>
    <w:rsid w:val="00CC3B17"/>
    <w:rsid w:val="00CD003A"/>
    <w:rsid w:val="00CD4FBC"/>
    <w:rsid w:val="00CF1A8D"/>
    <w:rsid w:val="00D36D67"/>
    <w:rsid w:val="00D5057E"/>
    <w:rsid w:val="00D60C42"/>
    <w:rsid w:val="00D618F5"/>
    <w:rsid w:val="00D61F34"/>
    <w:rsid w:val="00D63F65"/>
    <w:rsid w:val="00D663C1"/>
    <w:rsid w:val="00D84FAA"/>
    <w:rsid w:val="00D931A8"/>
    <w:rsid w:val="00D966B5"/>
    <w:rsid w:val="00DA2F20"/>
    <w:rsid w:val="00DB2DA4"/>
    <w:rsid w:val="00DC7D65"/>
    <w:rsid w:val="00DE2D53"/>
    <w:rsid w:val="00DE2F5A"/>
    <w:rsid w:val="00E115F7"/>
    <w:rsid w:val="00E20F06"/>
    <w:rsid w:val="00E46C8F"/>
    <w:rsid w:val="00E656F5"/>
    <w:rsid w:val="00E70857"/>
    <w:rsid w:val="00E750CB"/>
    <w:rsid w:val="00E8042A"/>
    <w:rsid w:val="00E80A64"/>
    <w:rsid w:val="00E84BDE"/>
    <w:rsid w:val="00E94184"/>
    <w:rsid w:val="00E94E50"/>
    <w:rsid w:val="00E96DBF"/>
    <w:rsid w:val="00EC5F36"/>
    <w:rsid w:val="00ED176B"/>
    <w:rsid w:val="00EF3963"/>
    <w:rsid w:val="00F001A3"/>
    <w:rsid w:val="00F10725"/>
    <w:rsid w:val="00F31F26"/>
    <w:rsid w:val="00F3464C"/>
    <w:rsid w:val="00F4300E"/>
    <w:rsid w:val="00F47118"/>
    <w:rsid w:val="00F514C8"/>
    <w:rsid w:val="00F549F6"/>
    <w:rsid w:val="00F6414A"/>
    <w:rsid w:val="00F82184"/>
    <w:rsid w:val="00F95FF1"/>
    <w:rsid w:val="00FA101F"/>
    <w:rsid w:val="00FA4AAA"/>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86/s12874-019-0767-z" TargetMode="External"/><Relationship Id="rId18" Type="http://schemas.openxmlformats.org/officeDocument/2006/relationships/hyperlink" Target="https://doi.org/10.1177/1938965520965223"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09/ICTAI.2015.9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80/1369118X.2021.1897150" TargetMode="External"/><Relationship Id="rId20" Type="http://schemas.openxmlformats.org/officeDocument/2006/relationships/hyperlink" Target="https://doi.org/10.24198/JBM.V23I1.8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29140/ajal.v4n3.513"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016/j.conctc.2020.1005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ucsc.cmb.ac.lk/jspui/bitstream/123456789/4486/1/2017%20MIT%20017.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Props1.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2.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4.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49</cp:revision>
  <cp:lastPrinted>2023-11-17T01:27:00Z</cp:lastPrinted>
  <dcterms:created xsi:type="dcterms:W3CDTF">2023-11-12T13:02:00Z</dcterms:created>
  <dcterms:modified xsi:type="dcterms:W3CDTF">2023-12-04T05:31:00Z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