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RADIANT-LLM 第五章：结论</w:t>
      </w:r>
    </w:p>
    <w:p>
      <w:pPr>
        <w:jc w:val="center"/>
      </w:pPr>
      <w:r>
        <w:rPr>
          <w:i/>
        </w:rPr>
        <w:t>详细解读与中文翻译｜对应原论文第 5 章（第 36–38 页）</w:t>
      </w:r>
    </w:p>
    <w:p>
      <w:r>
        <w:t>论文：RADIANT-LLM: an Agentic Retrieval Augmented Generation Framework for Reliable Decision Support in Safety-Critical Nuclear Engineering。第 5 章归纳论文的实证结论、架构定位、可迁移性与后续验证任务。</w:t>
      </w:r>
    </w:p>
    <w:p>
      <w:pPr>
        <w:pStyle w:val="Heading1"/>
      </w:pPr>
      <w:r>
        <w:t>一、本章一句话结论</w:t>
      </w:r>
    </w:p>
    <w:p>
      <w:r>
        <w:t>作者将 RADIANT-LLM 定位为一个“以本地控制、视觉证据和可追溯引用为中心”的多模态 RAG 基础设施：它在本文受控基准中表现稳定，但仍需要在更大语料、更多模型、真实用户和真实 3S 工作流中继续验证。</w:t>
      </w:r>
    </w:p>
    <w:p>
      <w:pPr>
        <w:pStyle w:val="Heading1"/>
      </w:pPr>
      <w:r>
        <w:t>二、详细解读</w:t>
      </w:r>
    </w:p>
    <w:p>
      <w:pPr>
        <w:pStyle w:val="Heading2"/>
      </w:pPr>
      <w:r>
        <w:t>1. 结论回收的不是单一模型能力，而是一套工作流</w:t>
      </w:r>
    </w:p>
    <w:p>
      <w:r>
        <w:t>作者的首要归纳是：多模态摄取管线、本地 JSON 知识库和五项领域指标共同把技术文档处理，从手工、易错的过程，转变为“以文档引用和视觉落地为基础”的工作流。这里的贡献单位是系统架构及其审计机制，而不是宣称某个 LLM 自身掌握了核工程知识。</w:t>
      </w:r>
    </w:p>
    <w:p>
      <w:pPr>
        <w:pStyle w:val="Heading2"/>
      </w:pPr>
      <w:r>
        <w:t>2. 论文声称已被实证支持的内容</w:t>
      </w:r>
    </w:p>
    <w:p>
      <w:r>
        <w:t>在 GPT-5.2 建立的高保真多模态 KB 支撑下，GPT-5 这一较弱的回答模型在页级和上下文扩展基准中仍取得高 CoP、低 HR、近乎完美的 ViR 与较强引用表现。UNFSF 实验从 1 个来源扩至 250 个来源时，大多数档位的 CoP、CiP、CiH、ViR 保持在约 .85 以上。作者把这作为“摄取质量 + 本地检索 + 明确指标”组合有效的证据。</w:t>
      </w:r>
    </w:p>
    <w:p>
      <w:pPr>
        <w:pStyle w:val="Heading2"/>
      </w:pPr>
      <w:r>
        <w:t>3. 对 100 来源异常的限定</w:t>
      </w:r>
    </w:p>
    <w:p>
      <w:r>
        <w:t>一次 100 来源运行的下降并未被略过：作者强调，重复运行后恢复，故把它解释为自回归生成的随机性，而非已证实的规模性失效。需要注意，这是作者基于单次复跑做出的解释；因此结论应理解为“在该基准里未见单调崩溃”，而不是“任何大规模语料都已证明稳定”。</w:t>
      </w:r>
    </w:p>
    <w:p>
      <w:pPr>
        <w:pStyle w:val="Heading2"/>
      </w:pPr>
      <w:r>
        <w:t>4. 与通用平台比较真正证明了什么</w:t>
      </w:r>
    </w:p>
    <w:p>
      <w:r>
        <w:t>ChatGPT 联网、TAMU Chat 和冻结 GPT-5.2 的比较表明，缺少专用的本地多模态 KB 时，文档特异性正确性、引用锚定和视觉事实恢复会较弱，幻觉也更高。它不构成通用模型的永久排名；作者自己明确商业产品会快速变化。更严格的结论是：对给定、版本受控的核文档，通用联网能力不能替代页/图级、可审计的本地检索层。</w:t>
      </w:r>
    </w:p>
    <w:p>
      <w:pPr>
        <w:pStyle w:val="Heading2"/>
      </w:pPr>
      <w:r>
        <w:t>5. 架构的可迁移性来自数据结构和指标，而非绑定 GPT-5.2</w:t>
      </w:r>
    </w:p>
    <w:p>
      <w:r>
        <w:t>作者认为 JSON 形式、页级与图级可解析的 KB 便于移植和版本控制，可用于 SMR、第四代反应堆和燃料循环设施等设施特定 KB。论断级与引用级指标也与模型无关，可复用于未来 LLM/VLM。这里的“可迁移”是架构设计主张；尚不等于论文已在这些领域全部完成实验。</w:t>
      </w:r>
    </w:p>
    <w:p>
      <w:pPr>
        <w:pStyle w:val="Heading2"/>
      </w:pPr>
      <w:r>
        <w:t>6. 未来工作其实列出了当前证据的边界</w:t>
      </w:r>
    </w:p>
    <w:p>
      <w:r>
        <w:t>未来方向包括扩展至 IAEA、NRC、设计认证申报等更大语料；比较更多 LLM 后端以澄清成本—可靠性权衡；与建模仿真框架和数字孪生更紧密耦合；接入功能共振分析或知识图谱人因可靠性等结构化风险方法；以及最重要的真实 3S 工作流用户研究和部署试点。这些项目说明本文尚主要是在专家策展基准上验证技术链路，而非已完成大规模真实业务部署。</w:t>
      </w:r>
    </w:p>
    <w:p>
      <w:pPr>
        <w:pStyle w:val="Heading2"/>
      </w:pPr>
      <w:r>
        <w:t>7. 最终定位</w:t>
      </w:r>
    </w:p>
    <w:p>
      <w:r>
        <w:t>最后一句把 RADIANT-LLM 描述为可吸收未来商业 LLM/VLM 改进的耐久基础：优先保持本地控制与可追溯评估，而不是依赖某个具体底座模型。作者还主张，这一模板可迁移到其他安全关键领域。</w:t>
      </w:r>
    </w:p>
    <w:p>
      <w:pPr>
        <w:pStyle w:val="Heading1"/>
      </w:pPr>
      <w:r>
        <w:t>三、作者结论与证据边界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原文结论</w:t>
            </w:r>
          </w:p>
        </w:tc>
        <w:tc>
          <w:tcPr>
            <w:tcW w:type="dxa" w:w="4759"/>
          </w:tcPr>
          <w:p>
            <w:r>
              <w:t>应如何理解其证据范围</w:t>
            </w:r>
          </w:p>
        </w:tc>
      </w:tr>
      <w:tr>
        <w:tc>
          <w:tcPr>
            <w:tcW w:type="dxa" w:w="4759"/>
          </w:tcPr>
          <w:p>
            <w:r>
              <w:t>高保真 Visual-RAG 可提高可靠性、视觉落地与引用表现。</w:t>
            </w:r>
          </w:p>
        </w:tc>
        <w:tc>
          <w:tcPr>
            <w:tcW w:type="dxa" w:w="4759"/>
          </w:tcPr>
          <w:p>
            <w:r>
              <w:t>由页级、UNFSF 和上下文扩展基准支持；不是所有技术文档和任务上的普遍保证。</w:t>
            </w:r>
          </w:p>
        </w:tc>
      </w:tr>
      <w:tr>
        <w:tc>
          <w:tcPr>
            <w:tcW w:type="dxa" w:w="4759"/>
          </w:tcPr>
          <w:p>
            <w:r>
              <w:t>本地多模态 KB 优于比较中的通用部署。</w:t>
            </w:r>
          </w:p>
        </w:tc>
        <w:tc>
          <w:tcPr>
            <w:tcW w:type="dxa" w:w="4759"/>
          </w:tcPr>
          <w:p>
            <w:r>
              <w:t>支持“给定语料的可追溯、页图级任务”；并非商业模型永久能力排名。</w:t>
            </w:r>
          </w:p>
        </w:tc>
      </w:tr>
      <w:tr>
        <w:tc>
          <w:tcPr>
            <w:tcW w:type="dxa" w:w="4759"/>
          </w:tcPr>
          <w:p>
            <w:r>
              <w:t>250 来源下依然稳健。</w:t>
            </w:r>
          </w:p>
        </w:tc>
        <w:tc>
          <w:tcPr>
            <w:tcW w:type="dxa" w:w="4759"/>
          </w:tcPr>
          <w:p>
            <w:r>
              <w:t>多数设置表现高，且 100 来源 R1 有明显异常；需要继续做重复和更大规模试验。</w:t>
            </w:r>
          </w:p>
        </w:tc>
      </w:tr>
      <w:tr>
        <w:tc>
          <w:tcPr>
            <w:tcW w:type="dxa" w:w="4759"/>
          </w:tcPr>
          <w:p>
            <w:r>
              <w:t>架构可用于其他设施和安全关键领域。</w:t>
            </w:r>
          </w:p>
        </w:tc>
        <w:tc>
          <w:tcPr>
            <w:tcW w:type="dxa" w:w="4759"/>
          </w:tcPr>
          <w:p>
            <w:r>
              <w:t>属于设计可迁移性主张，真实用户研究与部署试点仍被列为优先未来工作。</w:t>
            </w:r>
          </w:p>
        </w:tc>
      </w:tr>
    </w:tbl>
    <w:p>
      <w:pPr>
        <w:pStyle w:val="Heading1"/>
      </w:pPr>
      <w:r>
        <w:t>四、中文翻译（第 5 章）</w:t>
      </w:r>
    </w:p>
    <w:p>
      <w:pPr>
        <w:pStyle w:val="Heading2"/>
      </w:pPr>
      <w:r>
        <w:t>5. 结论</w:t>
      </w:r>
    </w:p>
    <w:p>
      <w:r>
        <w:t>本文提出了 RADIANT-LLM：一个用于安全关键核工程中可靠、可追溯决策支持的多模态检索增强生成（RAG）框架。通过结合多模态摄取管线、基于 JSON 的本地知识库，以及领域感知的评价指标（CoP、CiP、CiH、HR 和 ViR），该框架将技术核文档的使用从一个手工、易错的过程，转变为符合核安全、安保与保障（3S）应用可靠性和可审计性要求的、带文档引用且以视觉证据为依据的工作流。</w:t>
      </w:r>
    </w:p>
    <w:p>
      <w:r>
        <w:t>从定量结果看，当系统由使用强 VLM（GPT-5.2）构建的高保真多模态 KB 支撑时，即使较弱的推理模型（GPT-5）也能在页级和上下文扩展基准中取得高 CoP、低 HR、近乎完美的 ViR 与较强的引用表现。在 UNFSF 基准上，尽管文档密度增加，从 1 到 250 个取回来源时，CoP、CiP、CiH 和 ViR 通常保持在 0.85 以上。一次运行中在 100 个来源处出现的偶发下降，以及重复实验中的恢复，反映了自回归生成的随机性质，而非系统性退化。其余运行中这些指标的稳定性表明，该方法在稠密、可能含噪证据下具有稳健性。</w:t>
      </w:r>
    </w:p>
    <w:p>
      <w:r>
        <w:t>与 RADIANT-LLM 架构外的 GPT-5.2 部署（带网页访问的 ChatGPT、TAMU Chat 和冻结 GPT-5.2 模型）的比较确认：即便是最先进的基础模型，若没有专用的本地多模态 KB，尤其是在语料特异的核文档中，也会出现较弱的 CoP、更高的幻觉率与不对齐的引用。这与可靠性工程文献中的发现一致：领域落地的 RAG 框架在故障诊断 [29]、事故分析 [3]、人因可靠性评估 [36] 和基础设施维护 [33] 中优于通用部署。RADIANT-LLM 通过在单一多模态检索和来源强制执行框架中统一文本、图、示意图和监管文件，扩展了这一路线。</w:t>
      </w:r>
    </w:p>
    <w:p>
      <w:r>
        <w:t>该架构被设计为超越本文报告基准而具有更广泛的适用性。其基于 JSON、可解析到页和图的 KB 结构可移植且可版本控制，适合设施特定 KB，例如 SMR、第四代反应堆和燃料循环设施；论断级与引用级指标不依赖特定模型，也可在未来 LLM/VLM 配置中复用。若干方向可进一步增强该框架：扩展到更大语料（IAEA、NRC、设计认证申报）；对更多 LLM 后端进行基准测试，以澄清成本—可靠性权衡；与 M&amp;S 框架和数字孪生更紧密耦合，以支持风险知情决策；以及整合功能共振分析 [35] 或基于知识图谱的人因可靠性评估 [36] 等结构化风险分析方法。在实际 3S 工作流中开展用户研究和部署试点仍是优先事项。由于该架构优先考虑本地控制和可追溯评价，而非依赖任何特定底层模型，它能够吸收未来商业 LLM 和 VLM 的改进，为核工程中可靠的 AI 辅助决策支持提供耐久基础，并为其他安全关键领域提供可迁移模板。</w:t>
      </w:r>
    </w:p>
    <w:p>
      <w:r>
        <w:t>注：本文档基于用户提供的论文 PDF 第 5 章。解读部分将论文在受控基准上得到的实证结果，与作者提出但仍需更大规模验证的可迁移性和部署主张作了区分。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