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RADIANT-LLM 第四章：结果与讨论</w:t>
      </w:r>
    </w:p>
    <w:p>
      <w:pPr>
        <w:jc w:val="center"/>
      </w:pPr>
      <w:r>
        <w:rPr>
          <w:i/>
        </w:rPr>
        <w:t>详细解读与中文翻译｜对应原论文第 4 章（第 24–36 页）</w:t>
      </w:r>
    </w:p>
    <w:p>
      <w:r>
        <w:t>论文：RADIANT-LLM: an Agentic Retrieval Augmented Generation Framework for Reliable Decision Support in Safety-Critical Nuclear Engineering。本章报告多模态摄取、页级基准、跨模型知识库效应、通用平台比较与上下文扩展实验。</w:t>
      </w:r>
    </w:p>
    <w:p>
      <w:pPr>
        <w:pStyle w:val="Heading1"/>
      </w:pPr>
      <w:r>
        <w:t>一、本章核心结论</w:t>
      </w:r>
    </w:p>
    <w:p>
      <w:r>
        <w:t>作者的核心结论并不是“某个模型绝对更强”，而是：在该基准中，建库时能否完整恢复图像事实，对最终正确性和幻觉控制至关重要；高保真多模态知识库可显著改善较弱回答模型；专用、本地、带页/图锚点的 RAG 在文档特异性引用上优于通用联网或无检索部署；语料扩展总体可保持稳定，但密集且重叠的证据会带来偶发的检索/生成失效，需要监控与人工干预。</w:t>
      </w:r>
    </w:p>
    <w:p>
      <w:pPr>
        <w:pStyle w:val="Heading1"/>
      </w:pPr>
      <w:r>
        <w:t>二、逐节详细解读</w:t>
      </w:r>
    </w:p>
    <w:p>
      <w:pPr>
        <w:pStyle w:val="Heading2"/>
      </w:pPr>
      <w:r>
        <w:t>4.1 多模态摄取与视觉语义恢复：先证明“图确实会丢”</w:t>
      </w:r>
    </w:p>
    <w:p>
      <w:r>
        <w:t>作者复现 Nougat 论文中的微积分页面抽取例子。仅文本的 Nougat 能取出邻近文字与公式，却把嵌入图完全留成空白，因此图中的几何、尺寸和边界条件根本不会进入 KB。RADIANT-LLM 在预处理阶段加 VLM，把图转成结构化文本描述后再嵌入；图注和邻近正文也被保留，以降低单独截取或拼接图片时的歧义。这一节没有直接证明回答一定正确，而是验证后续回答所必需的视觉事实已被写入知识库。</w:t>
      </w:r>
    </w:p>
    <w:p>
      <w:pPr>
        <w:pStyle w:val="Heading2"/>
      </w:pPr>
      <w:r>
        <w:t>4.2.1 页级结果：视觉召回与正确性、幻觉高度同向</w:t>
      </w:r>
    </w:p>
    <w:p>
      <w:r>
        <w:t>15 道页级题覆盖微积分示意图、反应堆中子通量/热生成曲线、热屏蔽几何。GPT-5.2 的平均 CoP=0.9667、HR=0.0060、ViR=0.9900；GPT-5 为 0.9000、0.1574、0.7417；GPT-5.1 为 0.8304、0.2741、0.5006；GPT-4.1 为 0.7640、0.2189、0.5092；GPT-4o 为 0.6333、0.4833、0.1767。该设置中多数模型的 CiP/CiH 接近 1，因为每个 KB 只有一页，引用问题的区分度有限。作者据此强调：决定表现的关键不是一般文本生成流畅度，而是 VLM 是否把图中的几何、形状、坐标标签和数值转换成可检索表示。</w:t>
      </w:r>
    </w:p>
    <w:p>
      <w:pPr>
        <w:pStyle w:val="Heading2"/>
      </w:pPr>
      <w:r>
        <w:t>页级失效模式：错误发生在“看图”“理解图”以及“补全图”三个层次</w:t>
      </w:r>
    </w:p>
    <w:p>
      <w:r>
        <w:t>GPT-4o 有时直接声称图没有几何/空间信息；GPT-4.1 会把绘图坐标轴当作实体尺寸；GPT-5.1 能识别意图却编造未标注的垂直长度，或漏掉轴向依赖；GPT-4o 在热屏蔽题中即使读到了半径，也把平板抽象成圆柱壳。这说明视觉错误不只来自 OCR 漏字，也可能发生在物理几何解释层。相反，GPT-5 根据标注半径推得厚度 R2−R1，这种与图文一致的推导不被视为幻觉。</w:t>
      </w:r>
    </w:p>
    <w:p>
      <w:pPr>
        <w:pStyle w:val="Heading2"/>
      </w:pPr>
      <w:r>
        <w:t>4.2.2 跨模型知识库效应：更好的 KB 能补偿较弱的回答模型</w:t>
      </w:r>
    </w:p>
    <w:p>
      <w:r>
        <w:t>同一个 GPT-4o 改为查询由 GPT-5.2 建立的 KB 后，CoP 从 0.633 升至 0.867，HR 从 0.483 降至 0.100，ViR 从 0.177 升至 0.742。改善并非只体现在语言表面，而是具体避免了“4 ft”虚构、补回径向/轴向方向与外推边界，并正确采用热屏蔽的平板假设。作者由此选择 GPT-5.2 作为后续持续 3S KB 的默认 VLM。其实际主张是：摄取阶段的信息保真度是系统级能力的一部分，而不只是后端回答模型的附属条件。</w:t>
      </w:r>
    </w:p>
    <w:p>
      <w:pPr>
        <w:pStyle w:val="Heading2"/>
      </w:pPr>
      <w:r>
        <w:t>4.3 通用部署对比：重点是本地文档锚定，而非通用模型竞技</w:t>
      </w:r>
    </w:p>
    <w:p>
      <w:r>
        <w:t>RADIANT-LLM（GPT-5 回答、GPT-5.2 建库、250 来源本地 KB）在 12 个 UNFSF 题上得到 CoP=.875、ViR=1.000、HR=.083、CiP=.862、CiH=.833。联网 ChatGPT 得到 CoP=.779、HR=.056，却只有 CiP=.167、CiH=0、ViR=.577；无网页的 TAMU Chat 为 CoP=.467、HR=.398、CiP=CiH=0；无外部上下文的冻结 GPT-5.2 为 CoP=.468、HR=.486、CiP=.583、CiH=0、ViR=0。作者明确声明这不是 head-to-head 排名，商业产品变化快；它检验的是在核 3S 所关心的本地资料、页图级证据和数据控制约束下，各部署形态能否稳定工作。</w:t>
      </w:r>
    </w:p>
    <w:p>
      <w:pPr>
        <w:pStyle w:val="Heading2"/>
      </w:pPr>
      <w:r>
        <w:t>CiP 高而 CiH 为零：本章最重要的引用辨析</w:t>
      </w:r>
    </w:p>
    <w:p>
      <w:r>
        <w:t>冻结模型和联网 ChatGPT 可以引用正确但宽泛的 NRC/IAEA 标准，因此 CiP 不一定为零；但它们没有命中本基准所需的 UNFSF 具体页、节、图，所以 CiH=0。作者把这叫作 source drift：回答看起来有权威引文，却没有回到决定该问题的本地设计逻辑。表 5 给出具体后果：TAMU Chat 编造探测质量、置信度或误报警阈值；冻结模型把双用途系统误认成 CCTV 而不是出入口控制系统；联网 ChatGPT 解释 3S 概念正确，却不能恢复图中特定重叠标签。</w:t>
      </w:r>
    </w:p>
    <w:p>
      <w:pPr>
        <w:pStyle w:val="Heading2"/>
      </w:pPr>
      <w:r>
        <w:t>4.4 上下文扩展：规模增加并未单调摧毁表现，但有随机失效区</w:t>
      </w:r>
    </w:p>
    <w:p>
      <w:r>
        <w:t>作者从一份 27 页报告扩展到约 250 份、16,141 页来源。大部分档位 CoP 在约 .85 以上，视觉题 ViR 接近 1，CiP/CiH 高而 HR 低。1–20 份来源时，加入周边文字常保持或提升 CoP/ViR。50–250 份时总体仍在高位，但 100 份来源的第一次运行出现异常：CoP=.599、HR=.467、ViR=.083；相同设置第二次运行又恢复为 CoP=.938、HR=0、ViR=1、CiP=.917、CiH=1。</w:t>
      </w:r>
    </w:p>
    <w:p>
      <w:pPr>
        <w:pStyle w:val="Heading2"/>
      </w:pPr>
      <w:r>
        <w:t>如何解读 100 来源异常</w:t>
      </w:r>
    </w:p>
    <w:p>
      <w:r>
        <w:t>作者并不把该异常解释为规模必然导致崩溃，而归因于自回归采样的概率性：来源密集、证据重叠时，检索噪声与微小采样变化可能放大为锚点竞争、遗漏和无支持推断。异常运行中可见中央 3S 重叠区遗漏、角色标签部分猜测、安保/保障接口混淆、误报警约束遗漏等；10–50 来源时也有额外上下文引文拉低 CiH 的情况。实际含义是：系统需要监控 CoP、HR、CiP、CiH、ViR，并在恶化时调检索、重排序或引入针对性人工监督。</w:t>
      </w:r>
    </w:p>
    <w:p>
      <w:pPr>
        <w:pStyle w:val="Heading1"/>
      </w:pPr>
      <w:r>
        <w:t>三、关键结果速查</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tcPr>
          <w:p>
            <w:r>
              <w:t>系统/设置</w:t>
            </w:r>
          </w:p>
        </w:tc>
        <w:tc>
          <w:tcPr>
            <w:tcW w:type="dxa" w:w="1586"/>
          </w:tcPr>
          <w:p>
            <w:r>
              <w:t>CoP</w:t>
            </w:r>
          </w:p>
        </w:tc>
        <w:tc>
          <w:tcPr>
            <w:tcW w:type="dxa" w:w="1586"/>
          </w:tcPr>
          <w:p>
            <w:r>
              <w:t>CiP</w:t>
            </w:r>
          </w:p>
        </w:tc>
        <w:tc>
          <w:tcPr>
            <w:tcW w:type="dxa" w:w="1586"/>
          </w:tcPr>
          <w:p>
            <w:r>
              <w:t>CiH</w:t>
            </w:r>
          </w:p>
        </w:tc>
        <w:tc>
          <w:tcPr>
            <w:tcW w:type="dxa" w:w="1586"/>
          </w:tcPr>
          <w:p>
            <w:r>
              <w:t>HR↓</w:t>
            </w:r>
          </w:p>
        </w:tc>
        <w:tc>
          <w:tcPr>
            <w:tcW w:type="dxa" w:w="1586"/>
          </w:tcPr>
          <w:p>
            <w:r>
              <w:t>ViR</w:t>
            </w:r>
          </w:p>
        </w:tc>
      </w:tr>
      <w:tr>
        <w:tc>
          <w:tcPr>
            <w:tcW w:type="dxa" w:w="1586"/>
          </w:tcPr>
          <w:p>
            <w:r>
              <w:t>GPT-5.2，页级</w:t>
            </w:r>
          </w:p>
        </w:tc>
        <w:tc>
          <w:tcPr>
            <w:tcW w:type="dxa" w:w="1586"/>
          </w:tcPr>
          <w:p>
            <w:r>
              <w:t>0.9667</w:t>
            </w:r>
          </w:p>
        </w:tc>
        <w:tc>
          <w:tcPr>
            <w:tcW w:type="dxa" w:w="1586"/>
          </w:tcPr>
          <w:p>
            <w:r>
              <w:t>1.000</w:t>
            </w:r>
          </w:p>
        </w:tc>
        <w:tc>
          <w:tcPr>
            <w:tcW w:type="dxa" w:w="1586"/>
          </w:tcPr>
          <w:p>
            <w:r>
              <w:t>1.000</w:t>
            </w:r>
          </w:p>
        </w:tc>
        <w:tc>
          <w:tcPr>
            <w:tcW w:type="dxa" w:w="1586"/>
          </w:tcPr>
          <w:p>
            <w:r>
              <w:t>0.0060</w:t>
            </w:r>
          </w:p>
        </w:tc>
        <w:tc>
          <w:tcPr>
            <w:tcW w:type="dxa" w:w="1586"/>
          </w:tcPr>
          <w:p>
            <w:r>
              <w:t>0.9900</w:t>
            </w:r>
          </w:p>
        </w:tc>
      </w:tr>
      <w:tr>
        <w:tc>
          <w:tcPr>
            <w:tcW w:type="dxa" w:w="1586"/>
          </w:tcPr>
          <w:p>
            <w:r>
              <w:t>GPT-5，页级</w:t>
            </w:r>
          </w:p>
        </w:tc>
        <w:tc>
          <w:tcPr>
            <w:tcW w:type="dxa" w:w="1586"/>
          </w:tcPr>
          <w:p>
            <w:r>
              <w:t>0.9000</w:t>
            </w:r>
          </w:p>
        </w:tc>
        <w:tc>
          <w:tcPr>
            <w:tcW w:type="dxa" w:w="1586"/>
          </w:tcPr>
          <w:p>
            <w:r>
              <w:t>1.000</w:t>
            </w:r>
          </w:p>
        </w:tc>
        <w:tc>
          <w:tcPr>
            <w:tcW w:type="dxa" w:w="1586"/>
          </w:tcPr>
          <w:p>
            <w:r>
              <w:t>1.000</w:t>
            </w:r>
          </w:p>
        </w:tc>
        <w:tc>
          <w:tcPr>
            <w:tcW w:type="dxa" w:w="1586"/>
          </w:tcPr>
          <w:p>
            <w:r>
              <w:t>0.1574</w:t>
            </w:r>
          </w:p>
        </w:tc>
        <w:tc>
          <w:tcPr>
            <w:tcW w:type="dxa" w:w="1586"/>
          </w:tcPr>
          <w:p>
            <w:r>
              <w:t>0.7417</w:t>
            </w:r>
          </w:p>
        </w:tc>
      </w:tr>
      <w:tr>
        <w:tc>
          <w:tcPr>
            <w:tcW w:type="dxa" w:w="1586"/>
          </w:tcPr>
          <w:p>
            <w:r>
              <w:t>GPT-4o，页级</w:t>
            </w:r>
          </w:p>
        </w:tc>
        <w:tc>
          <w:tcPr>
            <w:tcW w:type="dxa" w:w="1586"/>
          </w:tcPr>
          <w:p>
            <w:r>
              <w:t>0.6333</w:t>
            </w:r>
          </w:p>
        </w:tc>
        <w:tc>
          <w:tcPr>
            <w:tcW w:type="dxa" w:w="1586"/>
          </w:tcPr>
          <w:p>
            <w:r>
              <w:t>0.8667</w:t>
            </w:r>
          </w:p>
        </w:tc>
        <w:tc>
          <w:tcPr>
            <w:tcW w:type="dxa" w:w="1586"/>
          </w:tcPr>
          <w:p>
            <w:r>
              <w:t>0.6667</w:t>
            </w:r>
          </w:p>
        </w:tc>
        <w:tc>
          <w:tcPr>
            <w:tcW w:type="dxa" w:w="1586"/>
          </w:tcPr>
          <w:p>
            <w:r>
              <w:t>0.4833</w:t>
            </w:r>
          </w:p>
        </w:tc>
        <w:tc>
          <w:tcPr>
            <w:tcW w:type="dxa" w:w="1586"/>
          </w:tcPr>
          <w:p>
            <w:r>
              <w:t>0.1767</w:t>
            </w:r>
          </w:p>
        </w:tc>
      </w:tr>
      <w:tr>
        <w:tc>
          <w:tcPr>
            <w:tcW w:type="dxa" w:w="1586"/>
          </w:tcPr>
          <w:p>
            <w:r>
              <w:t>GPT-4o + GPT-5.2 KB</w:t>
            </w:r>
          </w:p>
        </w:tc>
        <w:tc>
          <w:tcPr>
            <w:tcW w:type="dxa" w:w="1586"/>
          </w:tcPr>
          <w:p>
            <w:r>
              <w:t>0.867</w:t>
            </w:r>
          </w:p>
        </w:tc>
        <w:tc>
          <w:tcPr>
            <w:tcW w:type="dxa" w:w="1586"/>
          </w:tcPr>
          <w:p>
            <w:r>
              <w:t>—</w:t>
            </w:r>
          </w:p>
        </w:tc>
        <w:tc>
          <w:tcPr>
            <w:tcW w:type="dxa" w:w="1586"/>
          </w:tcPr>
          <w:p>
            <w:r>
              <w:t>—</w:t>
            </w:r>
          </w:p>
        </w:tc>
        <w:tc>
          <w:tcPr>
            <w:tcW w:type="dxa" w:w="1586"/>
          </w:tcPr>
          <w:p>
            <w:r>
              <w:t>0.100</w:t>
            </w:r>
          </w:p>
        </w:tc>
        <w:tc>
          <w:tcPr>
            <w:tcW w:type="dxa" w:w="1586"/>
          </w:tcPr>
          <w:p>
            <w:r>
              <w:t>0.742</w:t>
            </w:r>
          </w:p>
        </w:tc>
      </w:tr>
      <w:tr>
        <w:tc>
          <w:tcPr>
            <w:tcW w:type="dxa" w:w="1586"/>
          </w:tcPr>
          <w:p>
            <w:r>
              <w:t>RADIANT-LLM，UNFSF</w:t>
            </w:r>
          </w:p>
        </w:tc>
        <w:tc>
          <w:tcPr>
            <w:tcW w:type="dxa" w:w="1586"/>
          </w:tcPr>
          <w:p>
            <w:r>
              <w:t>0.875</w:t>
            </w:r>
          </w:p>
        </w:tc>
        <w:tc>
          <w:tcPr>
            <w:tcW w:type="dxa" w:w="1586"/>
          </w:tcPr>
          <w:p>
            <w:r>
              <w:t>0.862</w:t>
            </w:r>
          </w:p>
        </w:tc>
        <w:tc>
          <w:tcPr>
            <w:tcW w:type="dxa" w:w="1586"/>
          </w:tcPr>
          <w:p>
            <w:r>
              <w:t>0.833</w:t>
            </w:r>
          </w:p>
        </w:tc>
        <w:tc>
          <w:tcPr>
            <w:tcW w:type="dxa" w:w="1586"/>
          </w:tcPr>
          <w:p>
            <w:r>
              <w:t>0.083</w:t>
            </w:r>
          </w:p>
        </w:tc>
        <w:tc>
          <w:tcPr>
            <w:tcW w:type="dxa" w:w="1586"/>
          </w:tcPr>
          <w:p>
            <w:r>
              <w:t>1.000</w:t>
            </w:r>
          </w:p>
        </w:tc>
      </w:tr>
      <w:tr>
        <w:tc>
          <w:tcPr>
            <w:tcW w:type="dxa" w:w="1586"/>
          </w:tcPr>
          <w:p>
            <w:r>
              <w:t>ChatGPT 联网，UNFSF</w:t>
            </w:r>
          </w:p>
        </w:tc>
        <w:tc>
          <w:tcPr>
            <w:tcW w:type="dxa" w:w="1586"/>
          </w:tcPr>
          <w:p>
            <w:r>
              <w:t>0.779</w:t>
            </w:r>
          </w:p>
        </w:tc>
        <w:tc>
          <w:tcPr>
            <w:tcW w:type="dxa" w:w="1586"/>
          </w:tcPr>
          <w:p>
            <w:r>
              <w:t>0.167</w:t>
            </w:r>
          </w:p>
        </w:tc>
        <w:tc>
          <w:tcPr>
            <w:tcW w:type="dxa" w:w="1586"/>
          </w:tcPr>
          <w:p>
            <w:r>
              <w:t>0</w:t>
            </w:r>
          </w:p>
        </w:tc>
        <w:tc>
          <w:tcPr>
            <w:tcW w:type="dxa" w:w="1586"/>
          </w:tcPr>
          <w:p>
            <w:r>
              <w:t>0.056</w:t>
            </w:r>
          </w:p>
        </w:tc>
        <w:tc>
          <w:tcPr>
            <w:tcW w:type="dxa" w:w="1586"/>
          </w:tcPr>
          <w:p>
            <w:r>
              <w:t>0.577</w:t>
            </w:r>
          </w:p>
        </w:tc>
      </w:tr>
      <w:tr>
        <w:tc>
          <w:tcPr>
            <w:tcW w:type="dxa" w:w="1586"/>
          </w:tcPr>
          <w:p>
            <w:r>
              <w:t>冻结 GPT-5.2，UNFSF</w:t>
            </w:r>
          </w:p>
        </w:tc>
        <w:tc>
          <w:tcPr>
            <w:tcW w:type="dxa" w:w="1586"/>
          </w:tcPr>
          <w:p>
            <w:r>
              <w:t>0.468</w:t>
            </w:r>
          </w:p>
        </w:tc>
        <w:tc>
          <w:tcPr>
            <w:tcW w:type="dxa" w:w="1586"/>
          </w:tcPr>
          <w:p>
            <w:r>
              <w:t>0.583</w:t>
            </w:r>
          </w:p>
        </w:tc>
        <w:tc>
          <w:tcPr>
            <w:tcW w:type="dxa" w:w="1586"/>
          </w:tcPr>
          <w:p>
            <w:r>
              <w:t>0</w:t>
            </w:r>
          </w:p>
        </w:tc>
        <w:tc>
          <w:tcPr>
            <w:tcW w:type="dxa" w:w="1586"/>
          </w:tcPr>
          <w:p>
            <w:r>
              <w:t>0.486</w:t>
            </w:r>
          </w:p>
        </w:tc>
        <w:tc>
          <w:tcPr>
            <w:tcW w:type="dxa" w:w="1586"/>
          </w:tcPr>
          <w:p>
            <w:r>
              <w:t>0.000</w:t>
            </w:r>
          </w:p>
        </w:tc>
      </w:tr>
      <w:tr>
        <w:tc>
          <w:tcPr>
            <w:tcW w:type="dxa" w:w="1586"/>
          </w:tcPr>
          <w:p>
            <w:r>
              <w:t>100 来源 R1</w:t>
            </w:r>
          </w:p>
        </w:tc>
        <w:tc>
          <w:tcPr>
            <w:tcW w:type="dxa" w:w="1586"/>
          </w:tcPr>
          <w:p>
            <w:r>
              <w:t>0.599</w:t>
            </w:r>
          </w:p>
        </w:tc>
        <w:tc>
          <w:tcPr>
            <w:tcW w:type="dxa" w:w="1586"/>
          </w:tcPr>
          <w:p>
            <w:r>
              <w:t>0.708</w:t>
            </w:r>
          </w:p>
        </w:tc>
        <w:tc>
          <w:tcPr>
            <w:tcW w:type="dxa" w:w="1586"/>
          </w:tcPr>
          <w:p>
            <w:r>
              <w:t>0.750</w:t>
            </w:r>
          </w:p>
        </w:tc>
        <w:tc>
          <w:tcPr>
            <w:tcW w:type="dxa" w:w="1586"/>
          </w:tcPr>
          <w:p>
            <w:r>
              <w:t>0.467</w:t>
            </w:r>
          </w:p>
        </w:tc>
        <w:tc>
          <w:tcPr>
            <w:tcW w:type="dxa" w:w="1586"/>
          </w:tcPr>
          <w:p>
            <w:r>
              <w:t>0.083</w:t>
            </w:r>
          </w:p>
        </w:tc>
      </w:tr>
      <w:tr>
        <w:tc>
          <w:tcPr>
            <w:tcW w:type="dxa" w:w="1586"/>
          </w:tcPr>
          <w:p>
            <w:r>
              <w:t>100 来源 R2</w:t>
            </w:r>
          </w:p>
        </w:tc>
        <w:tc>
          <w:tcPr>
            <w:tcW w:type="dxa" w:w="1586"/>
          </w:tcPr>
          <w:p>
            <w:r>
              <w:t>0.938</w:t>
            </w:r>
          </w:p>
        </w:tc>
        <w:tc>
          <w:tcPr>
            <w:tcW w:type="dxa" w:w="1586"/>
          </w:tcPr>
          <w:p>
            <w:r>
              <w:t>0.917</w:t>
            </w:r>
          </w:p>
        </w:tc>
        <w:tc>
          <w:tcPr>
            <w:tcW w:type="dxa" w:w="1586"/>
          </w:tcPr>
          <w:p>
            <w:r>
              <w:t>1.000</w:t>
            </w:r>
          </w:p>
        </w:tc>
        <w:tc>
          <w:tcPr>
            <w:tcW w:type="dxa" w:w="1586"/>
          </w:tcPr>
          <w:p>
            <w:r>
              <w:t>0.000</w:t>
            </w:r>
          </w:p>
        </w:tc>
        <w:tc>
          <w:tcPr>
            <w:tcW w:type="dxa" w:w="1586"/>
          </w:tcPr>
          <w:p>
            <w:r>
              <w:t>1.000</w:t>
            </w:r>
          </w:p>
        </w:tc>
      </w:tr>
    </w:tbl>
    <w:p>
      <w:pPr>
        <w:pStyle w:val="Heading1"/>
      </w:pPr>
      <w:r>
        <w:t>四、中文翻译（第 4 章）</w:t>
      </w:r>
    </w:p>
    <w:p>
      <w:r>
        <w:t>说明：以下为原论文第 4 章的完整中文翻译。指标缩写沿用原文：CoP=上下文精确度、CiP=引用精确度、CiH=引用命中、HR=幻觉率、ViR=视觉召回。</w:t>
      </w:r>
    </w:p>
    <w:p>
      <w:pPr>
        <w:pStyle w:val="Heading2"/>
      </w:pPr>
      <w:r>
        <w:t>4. 结果与讨论</w:t>
      </w:r>
    </w:p>
    <w:p>
      <w:r>
        <w:t>4.1 多模态摄取与视觉语义恢复。为说明摄取过程中的视觉信息丢失，我们使用 Nougat 论文中的同一微积分页面（[24] 中图 B.1）重复了提取示例；它后来也作为页级基准中的案例 1。如图 5 所示，Nougat 解析器抽取了周围的文本和公式，却完全漏掉嵌入的示意图，在原图所在位置留下空白区域。这反映了以文本为中心的 OCR 管线的常见局限：位于图中的几何、尺寸和边界条件不会被摄取进知识库。</w:t>
      </w:r>
    </w:p>
    <w:p>
      <w:r>
        <w:t>在 RADIANT-LLM 中，摄取在预处理阶段使用基于 VLM 的解析，在嵌入之前把示意图转换为结构化文本描述。恢复出的表示捕捉到仅存在于图中的几何关系和带标签尺寸，使这些事实能够在下游查询中被检索和引用。与只截取或拼接图而不做语义解释的方法相比，页级多模态摄取保留图注和邻近正文的局部上下文，从而减少歧义并限制幻觉。该实验关注的是摄取本身：KB 是否包含回答以示意图和带注释图解为依据的工程问题所需的视觉事实。接下来报告页级检索敏感性研究。</w:t>
      </w:r>
    </w:p>
    <w:p>
      <w:r>
        <w:t>图 5：微积分页上仅文本与多模态 PDF 解析的比较。（a）原始 PDF 页面 [59]，含文本、公式和一幅图。（b）Nougat 解析器的输出，显示视觉信息丢失（改编自 [24] 图 B.1）。（c）RADIANT-LLM 解析输出，视觉语言模型将图的语义（标签和拓扑）恢复为可检索的 JSON 表示。</w:t>
      </w:r>
    </w:p>
    <w:p>
      <w:pPr>
        <w:pStyle w:val="Heading2"/>
      </w:pPr>
      <w:r>
        <w:t>4.2 页级检索敏感性</w:t>
      </w:r>
    </w:p>
    <w:p>
      <w:r>
        <w:t>本节报告第 3.6 节所定义的页级敏感性基准上 Visual-RAG 架构的表现。</w:t>
      </w:r>
    </w:p>
    <w:p>
      <w:r>
        <w:t>4.2.1 页级平均指标得分。微积分页（图 5）把关键几何信息集中在一幅示意图中；《Nuclear Systems I》[60] 的两页反应堆物理页面（图 6）分别展示了中子通量与热生成剖面（图 3–3）以及热屏蔽几何中的功率沉积（图 3–7）。图 6：用于页级基准的技术页面。左：均匀圆柱反应堆的中子通量和热生成剖面（图 3–3）。右：热屏蔽几何和功率沉积模型（图 3–7）。这些页面具有密集的视觉标注，并作为仅图、仅文和混合查询的来源。</w:t>
      </w:r>
    </w:p>
    <w:p>
      <w:r>
        <w:t>表 2 与图 7 汇总了全部 15 个问题的表现。GPT-5.2 配置在三个案例中均取得最高分：CoP=0.9667，HR=0.0060，且视觉召回几乎完美（ViR=0.9900）。GPT-5 作为推理模型也表现强劲（CoP=0.9000，ViR=0.7417），但 HR 更高（0.1574），表明无支撑陈述更频繁。GPT-5.1 与 GPT-4.1 居中（CoP 分别为 0.8304 和 0.7640，ViR 约为 0.50）；GPT-4o 视觉落地最弱（ViR=0.1767），HR 最高（0.4833）。在所有配置中，更高 ViR 一贯对应更高 CoP 和明显更低 HR。这说明总体表现较少由通用文本生成能力决定，而更多取决于 VLM 能否把关键示意图细节提取并概括为可嵌入、可检索的准确文本表示。当 VLM 忠实捕捉图中的几何关系、剖面形状、坐标标签及其他事实元素时，下游问答就更可靠地落在正确页面和图证据上，从而抑制幻觉。对多数模型，CiP 和 CiH 达到或接近 1，确认 CoP、HR 和 ViR 是该设置中区分度最高的指标。</w:t>
      </w:r>
    </w:p>
    <w:p>
      <w:r>
        <w:t>图 7：15 个问题的页级基准平均结果。展示 GPT-5.2、GPT-5.1、GPT-4.1 和 GPT-4o 的平均 CoP、HR（越低越好）和 ViR。较高 ViR 通常伴随更高 CoP 与更低 HR，说明视觉落地对事实正确性的重要性。</w:t>
      </w:r>
    </w:p>
    <w:p>
      <w:r>
        <w:t>表 3 概括了页级基准中有代表性的失效模式。平均值反映总体趋势，但逐题检查揭示出不同失效机制。在 Q1（抛物线闸门）中，一些模型把绘制的坐标轴与物理尺寸混淆，或编造未标注长度（“2 ft”“4 ft”），导致数值精度下降、HR 上升。在 Q6 和 Q10（反应堆物理示意图）中，“GPT-4.x”系列要么遗漏明确标记的轴向标志，要么在有清晰视觉线索时断言没有轴向依赖，从而降低 ViR 并使 CoP 部分下降。在 Q15（热屏蔽建模）中，GPT-4o 即使正确恢复半径，仍使用错误几何抽象（圆柱壳而非平板），表明失效也可能出现在物理解释层，而不只是原始视觉提取。相反，与图文均一致的推导（例如 GPT-5 在 Q11 中由标注半径推得屏蔽层厚度）不会降低任何指标，也不受惩罚。</w:t>
      </w:r>
    </w:p>
    <w:p>
      <w:r>
        <w:t>表 2 的页级 15 题平均值为：GPT-5.2：CoP .9667、CiP 1、CiH 1、HR .0060、ViR .9900；GPT-5.1：.8304、1、1、.2741、.5006；GPT-5：.9000、1、1、.1574、.7417；GPT-4.1：.7640、1、1、.2189、.5092；GPT-4o：.6333、.8667、.6667、.4833、.1767。表 3 的典型例子包括：GPT-4o 对 Q1 忽略图中已标明的 10 ft 和 6 ft；GPT-4.1 将坐标轴误作实体尺寸并虚构宽度“4”；GPT-5.1 虚构“2 ft”“4 ft”垂直尺寸；GPT-4o 对 Q6 不识别含空间/坐标信息的图；GPT-5.1 对 Q10 漏掉轴向依赖；GPT-4o 对 Q15 把平板热屏蔽建成圆柱壳；GPT-5 对 Q11 正确由 R2−R1 推导厚度。</w:t>
      </w:r>
    </w:p>
    <w:p>
      <w:r>
        <w:t>4.2.2 跨模型知识库效应。当页级基准中表现最低的 GPT-4o 查询由更高能力 VLM 配置（GPT-5.2）构建的 KB 时，答案质量显著改善。如图 8 所示，相对其自己的页级 KB，GPT-4o 的 CoP 从 0.633 升至 0.867，HR 从 0.483 降至 0.100，ViR 从 0.177 升至 0.742。在这种配置下，尽管其内在推理能力较低，GPT-4o 的 CoP 和 ViR 接近或超过中间模型（GPT-5.1、GPT-4.1）。这些收益在需要精确解释视觉语义和几何假设的题中最明显，例如 Q1、Q6、Q15。图 8：KB 保真度对下游模型表现的影响。比较 GPT-5.2 查询自身 KB、GPT-4o 查询 GPT-5.2 构建 KB、GPT-4o 查询自身 KB 的 15 题平均值；高保真多模态 KB 改善 CoP 与 ViR，并降低 HR。</w:t>
      </w:r>
    </w:p>
    <w:p>
      <w:r>
        <w:t>表 4 的逐题说明显示：在 Q1，GPT-4o 原先混淆坐标轴与物理尺寸并编造“4 ft”，改用 GPT-5.2 KB 后正确识别 10 ft、6 ft 并明确拒绝轴解释；在 Q6，它从“没有空间/坐标信息”变为正确识别径向、轴向、外推边界和圆柱几何；在 Q15，它从错误圆柱壳抽象变为把热屏蔽视为平板、核心视为无限平面源。页级实验表明 RAG 表现同时取决于摄取保真度和模型推理。本研究中 GPT-5.2 在 KB 构建时产生最可靠的 VLM 输出，即使较弱推理模型查询这种高保真 KB 也会改善。作者据此选择 GPT-5.2 作为后续文档级实验及持续 3S KB 构建的 VLM 配置。</w:t>
      </w:r>
    </w:p>
    <w:p>
      <w:pPr>
        <w:pStyle w:val="Heading2"/>
      </w:pPr>
      <w:r>
        <w:t>4.3 RADIANT-LLM 相对于通用部署的范围</w:t>
      </w:r>
    </w:p>
    <w:p>
      <w:r>
        <w:t>在考察随上下文规模变化的检索敏感性之前，作者在第 4.4 节同一 UNFSF 3S 基准上，将 RADIANT-LLM 与数种 GPT-5.2 部署比较。三种通用部署是：（i）带自动网页访问的 ChatGPT（GPT-5.2 instant）；（ii）具机构访问但无网页访问的 Texas A&amp;M Chat（GPT-5.2）；（iii）没有外部上下文的冻结 GPT-5.2。它们与使用 GPT-5 驱动、查询由 GPT-5.2 作为 VLM 构建的 250 来源本地 KB 的 RADIANT-LLM 相比。该配置遵循第 4.2 节的观察：较弱推理模型可查询由较强 VLM 创建的高保真多模态 KB。此比较不意在成为正面竞赛，而是考察通用部署在核 3S 分析相关约束下的实际局限；商业系统快速演变，未来更新可能呈现不同特征。</w:t>
      </w:r>
    </w:p>
    <w:p>
      <w:r>
        <w:t>如图 9，RADIANT-LLM（GPT-5）在 12 个 UNFSF 基准问题上获得最高总体正确性 CoP=.875、完美 ViR=1.000、低 HR=.083，以及强引用表现 CiP=.862、CiH=.833。联网 ChatGPT 得到中等 CoP=.779 和相对较低 HR=.056；它对一般核与监管来源给出一些引用（CiP=.167），但没有一条命中专家定义的页/图锚点（CiH=0），视觉事实恢复也只是部分（ViR=.577）。无网页或外部检索的 TAMU Chat 得到最低总体正确性 CoP=.467、较高 HR=.398、无有效引用（CiP=CiH=0），尽管在有限图问题上 ViR=.560。无外部上下文的冻结 GPT-5.2 得到相近 CoP=.468，却有被评系统中最高的 HR=.486；它通过引用一般监管或 IAEA 风格文档得到中等 CiP=.583，但未命中任何定义基准的 UNFSF 特定页或图（CiH=0），且没有视觉事实恢复（ViR=0）。</w:t>
      </w:r>
    </w:p>
    <w:p>
      <w:r>
        <w:t>冻结 GPT-5.2 与无外部检索的机构 GPT-5.2 部署取得相近 CoP，表明在此基准中，没有检索的 API 模型很像没有外部上下文的冻结引擎。因此，要在核 3S 工作流获得可靠表现，需要本研究实现的显式检索、工具编排和多模态 RAG 增强。按定义，CiP 与 CiH 的角色互补：CiP 反映即使在语料外，引用是否通向支持模型答案的来源；这解释了为何 ChatGPT 和冻结模型指向宽泛相关标准或指南时仍有非零 CiP。CiH 更严格，只奖励命中专家定义的页、节或图锚点。所有通用部署均 CiH=0，因为其引用均未落在基准 UNFSF 文档位置；RADIANT-LLM 则通过反复引用本地 KB 中正确页和图，取得较高 CiP 与 CiH。</w:t>
      </w:r>
    </w:p>
    <w:p>
      <w:r>
        <w:t>这些结果表明通用 LLM 部署用于核 3S 的局限：即使有网页，它们也没有内建控制来规定使用哪些文档、如何表示图，或如何精确将引用锚定到页和图。相反，RADIANT-LLM 从领域技术文档构建持久、结构化、本地控制的多模态 KB，带明确页/图标识与关联元数据，支持可复现、可审计、引用可追溯的重复 3S 问答。它应被看作商业平台的补充：提供专用多模态 RAG 层，用于安全知识摄取、精确引用和物理感知的视觉推理，而非一次性 PDF 问答。</w:t>
      </w:r>
    </w:p>
    <w:p>
      <w:r>
        <w:t>表 5 的代表性失效模式显示，通用部署的主要劣化来自自信却错误的数值答案和来源漂移。对于 SNM 门道监测器的探测系统问题（Q9–Q12），TAMU Chat 与冻结 GPT-5.2 常断言与 UNFSF 规格不一致的精确性能阈值，导致 CoP_N 下降、HR 上升。对于监管与框架问题（Q4–Q8），冻结模型常正确引用 NRC 或 IAEA 文档，故 CiP 非零，却没恢复 UNFSF 设计逻辑和锚点，导致 CiH=0。这解释了为何即使答案结构良好、看似权威，平均正确性和幻觉指标仍会恶化。表中还包括：TAMU Chat 在 Q9 给对 Pu-239 探测质量却配错屏蔽材料和置信度并漏掉误报警约束；Q11 声称铅屏蔽下约 1 秒探测 10g U-233；Q12 编造金属/爆炸物探测阈值；冻结模型 Q6 选 CCTV 而非出入口控制系统；联网 ChatGPT Q1–Q3 解释 3S 概念正确却没恢复图中特定重叠标签。</w:t>
      </w:r>
    </w:p>
    <w:p>
      <w:pPr>
        <w:pStyle w:val="Heading2"/>
      </w:pPr>
      <w:r>
        <w:t>4.4 上下文扩展对检索敏感性的影响</w:t>
      </w:r>
    </w:p>
    <w:p>
      <w:r>
        <w:t>在上下文扩展基准中，所有问题均取自《Application of Framework for Integrating Safety, Security and Safeguards (3Ss) into the Design of Used Nuclear Fuel Storage Facility (LA-UR-14-27045)》[11]。Q1–Q3 明确以图 1 的 3S 接口示意图为依据，考察安全、安保、保障如何共享运行功能、如何区分角色和主要目标、支持保障与安保的双用途系统如何在示意图中表示。其余 Q4–Q12 针对周边文本和设计要求，涵盖实物保护、材料控制与核算（MC&amp;A）的监管框架、双用途系统的性能目标与论证标准、集成框架的应用范围，以及 UNFSF 中乏核材料门道监测器与金属/爆炸物探测器的定量探测和误报警阈值。它们共同构成以 3S 为中心的测试，并能随 KB 扩展评估检索保真度（CiP、CiH）、幻觉行为（HR）与回答正确性（CoP）。</w:t>
      </w:r>
    </w:p>
    <w:p>
      <w:r>
        <w:t>表 6 与图 10 概括了当来源从 1 份（27 页）增加到约 250 份（16,141 页）时 GPT-5.2 在该 UNFSF Visual-RAG 基准上的表现。各上下文档位的 CoP/CiP/CiH/HR/ViR 依次为：1 来源 .979/.848/.583/.000/1.000；5 来源 .946/1.000/1.000/.036/.780；10 来源 .946/.958/.917/.031/.953；20 来源 .967/1.000/.917/.014/1.000；50 来源 .849/1.000/.667/.163/.952；100 来源 R1 .599/.708/.750/.467/.083；100 来源 R2 .938/.917/1.000/.000/1.000；150 来源 .883/.917/.917/.073/.905；200 来源 .925/.775/.750/.177/.905；250 来源 .863/.900/.833/.083/1.000。</w:t>
      </w:r>
    </w:p>
    <w:p>
      <w:r>
        <w:t>在大多数上下文规模下，CoP 保持高位（通常不低于约 .85），视觉题 ViR 接近 1，CiP 与 CiH 一般较高，HR 较低。在小到中等上下文规模（1–20 来源），增加周边文本经常改善或保持 CoP 与 ViR，同时使 HR 接近零。较大规模（50–250 来源）中，表现仍处在高位，但一次 100 来源实验（R1）显著退化：CoP、ViR 下降，HR 上升，说明密集、重叠证据似乎加剧了锚点竞争与无支撑推断。相同设置下的第二次 100 来源实验（R2）恢复到接近峰值的表现：CoP=.938、ViR=1.000、HR=.000、CiP=.917、CiH=1.000；150–250 来源也保持高 CoP、ViR 和适度 HR。</w:t>
      </w:r>
    </w:p>
    <w:p>
      <w:r>
        <w:t>这种模式与第 2 节讨论过的 LLM 生成的概率性、自回归性质一致。随着取回段落数量增加，模型的响应分布可能对检索噪声和内部采样的小变化更敏感，于是出现偶发但可恢复的失败区，而非系统性崩溃。表 7 的诊断题展示了实际表现：100 来源 R1 下中央 3S 重叠区遗漏、领域目标角色标签部分推断、保障和安保接口功能混淆、Pu-239 探测要求中的误报警约束遗漏、SNM 误报警限制中的同位素覆盖不完整；10–50 来源时，双用途系统论证题加入额外上下文引用而降低 CiH；1–5 来源时，框架应用范围题明确回答“不在 KB 中”，从而降低 HR。</w:t>
      </w:r>
    </w:p>
    <w:p>
      <w:r>
        <w:t>总体而言，在这一以 3S 为中心的 UNFSF 基准中，采用 GPT-5.2 的 Visual-RAG 在广泛上下文规模下维持了强事实正确性、引用锚定和视觉落地。表现没有随着上下文单调下降；但密集、重叠的证据偶尔会触发较差的检索或生成路径，如 100 来源 R1 所示。实际 3S 工作流因此应将高保真多模态摄取与监控 CoP、HR、CiP、CiH、ViR 的检索和监督策略结合，并提供检索调参、重排序或针对性人工监督等缓解措施。这些扩展趋势也与第 4.3 节跨平台比较一致：专用、本地控制的多模态 KB 有助于相对于通用 GPT-5.2 部署维持较高 CoP、CiP、CiH、ViR。</w:t>
      </w:r>
    </w:p>
    <w:p>
      <w:r>
        <w:t>注：本文档的解读与翻译均基于用户提供的论文 PDF 第 4 章。数据按原文表 2–7 抄录；本章报告的比较被作者明确界定为部署形态的实践性检验，而不是商业模型的永久排名。</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