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10"/>
        <w:gridCol w:w="7216"/>
      </w:tblGrid>
      <w:tr w:rsidR="000A7BBA" w14:paraId="1DF94C1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160" w:type="dxa"/>
            </w:tcMar>
            <w:vAlign w:val="center"/>
          </w:tcPr>
          <w:p w14:paraId="0FE5A38A" w14:textId="77777777" w:rsidR="000A7BBA" w:rsidRDefault="00684E07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EDA26B5" wp14:editId="520BD2FB">
                  <wp:extent cx="1047750" cy="809625"/>
                  <wp:effectExtent l="0" t="0" r="0" b="0"/>
                  <wp:docPr id="1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0" cy="809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2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60" w:type="dxa"/>
              <w:bottom w:w="0" w:type="dxa"/>
              <w:right w:w="0" w:type="dxa"/>
            </w:tcMar>
          </w:tcPr>
          <w:p w14:paraId="77BF8EDD" w14:textId="77777777" w:rsidR="000A7BBA" w:rsidRDefault="00684E07">
            <w:pPr>
              <w:spacing w:after="60"/>
            </w:pPr>
            <w:r>
              <w:rPr>
                <w:b/>
                <w:bCs/>
                <w:color w:val="000000"/>
                <w:sz w:val="32"/>
                <w:szCs w:val="32"/>
              </w:rPr>
              <w:t xml:space="preserve">IHC </w:t>
            </w:r>
            <w:proofErr w:type="spellStart"/>
            <w:r>
              <w:rPr>
                <w:b/>
                <w:bCs/>
                <w:color w:val="000000"/>
                <w:sz w:val="32"/>
                <w:szCs w:val="32"/>
              </w:rPr>
              <w:t>Lab</w:t>
            </w:r>
            <w:proofErr w:type="spellEnd"/>
            <w:r>
              <w:rPr>
                <w:b/>
                <w:bCs/>
                <w:color w:val="000000"/>
                <w:sz w:val="32"/>
                <w:szCs w:val="32"/>
              </w:rPr>
              <w:t xml:space="preserve">: </w:t>
            </w:r>
            <w:proofErr w:type="spellStart"/>
            <w:r>
              <w:rPr>
                <w:b/>
                <w:bCs/>
                <w:color w:val="000000"/>
                <w:sz w:val="32"/>
                <w:szCs w:val="32"/>
              </w:rPr>
              <w:t>Challenges</w:t>
            </w:r>
            <w:proofErr w:type="spellEnd"/>
            <w:r>
              <w:rPr>
                <w:b/>
                <w:bCs/>
                <w:color w:val="000000"/>
                <w:sz w:val="32"/>
                <w:szCs w:val="32"/>
              </w:rPr>
              <w:t xml:space="preserve"> &amp; Desafios</w:t>
            </w:r>
          </w:p>
          <w:p w14:paraId="0AD8BB29" w14:textId="77777777" w:rsidR="000A7BBA" w:rsidRDefault="00684E07">
            <w:pPr>
              <w:spacing w:after="60"/>
            </w:pPr>
            <w:r>
              <w:rPr>
                <w:i/>
                <w:iCs/>
                <w:color w:val="666666"/>
              </w:rPr>
              <w:t xml:space="preserve">Laboratório Prático — Inclusão, Acessibilidade e </w:t>
            </w:r>
            <w:proofErr w:type="spellStart"/>
            <w:r>
              <w:rPr>
                <w:i/>
                <w:iCs/>
                <w:color w:val="666666"/>
              </w:rPr>
              <w:t>Vibe</w:t>
            </w:r>
            <w:proofErr w:type="spellEnd"/>
            <w:r>
              <w:rPr>
                <w:i/>
                <w:iCs/>
                <w:color w:val="666666"/>
              </w:rPr>
              <w:t xml:space="preserve"> </w:t>
            </w:r>
            <w:proofErr w:type="spellStart"/>
            <w:r>
              <w:rPr>
                <w:i/>
                <w:iCs/>
                <w:color w:val="666666"/>
              </w:rPr>
              <w:t>Coding</w:t>
            </w:r>
            <w:proofErr w:type="spellEnd"/>
          </w:p>
          <w:p w14:paraId="3790C593" w14:textId="77777777" w:rsidR="000A7BBA" w:rsidRDefault="00684E07">
            <w:pPr>
              <w:spacing w:after="60"/>
            </w:pPr>
            <w:r>
              <w:rPr>
                <w:color w:val="666666"/>
                <w:sz w:val="20"/>
                <w:szCs w:val="20"/>
              </w:rPr>
              <w:t xml:space="preserve">Conecta CEUB 2026  |  Professora </w:t>
            </w:r>
            <w:proofErr w:type="spellStart"/>
            <w:r>
              <w:rPr>
                <w:color w:val="666666"/>
                <w:sz w:val="20"/>
                <w:szCs w:val="20"/>
              </w:rPr>
              <w:t>Kadidja</w:t>
            </w:r>
            <w:proofErr w:type="spellEnd"/>
            <w:r>
              <w:rPr>
                <w:color w:val="666666"/>
                <w:sz w:val="20"/>
                <w:szCs w:val="20"/>
              </w:rPr>
              <w:t xml:space="preserve"> Valéria</w:t>
            </w:r>
          </w:p>
          <w:p w14:paraId="47F85C4A" w14:textId="77777777" w:rsidR="000A7BBA" w:rsidRDefault="00684E07">
            <w:pPr>
              <w:pBdr>
                <w:bottom w:val="single" w:sz="8" w:space="6" w:color="B8860B"/>
              </w:pBdr>
            </w:pPr>
            <w:r>
              <w:rPr>
                <w:b/>
                <w:bCs/>
                <w:color w:val="B8860B"/>
              </w:rPr>
              <w:t>Eixo Q2: Mercado e Formação UX</w:t>
            </w:r>
          </w:p>
        </w:tc>
      </w:tr>
    </w:tbl>
    <w:p w14:paraId="7FE8D396" w14:textId="77777777" w:rsidR="000A7BBA" w:rsidRDefault="000A7BBA"/>
    <w:tbl>
      <w:tblPr>
        <w:tblW w:w="9026" w:type="dxa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57"/>
        <w:gridCol w:w="2257"/>
        <w:gridCol w:w="2256"/>
        <w:gridCol w:w="2256"/>
      </w:tblGrid>
      <w:tr w:rsidR="000A7BBA" w14:paraId="3E0609AB" w14:textId="77777777">
        <w:tblPrEx>
          <w:tblCellMar>
            <w:top w:w="0" w:type="dxa"/>
            <w:bottom w:w="0" w:type="dxa"/>
          </w:tblCellMar>
        </w:tblPrEx>
        <w:tc>
          <w:tcPr>
            <w:tcW w:w="2257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0A1B67" w14:textId="77777777" w:rsidR="000A7BBA" w:rsidRDefault="00684E07">
            <w:r>
              <w:rPr>
                <w:b/>
                <w:bCs/>
                <w:color w:val="666666"/>
                <w:sz w:val="20"/>
                <w:szCs w:val="20"/>
              </w:rPr>
              <w:t>Integrantes:</w:t>
            </w:r>
          </w:p>
          <w:p w14:paraId="78CA0645" w14:textId="77777777" w:rsidR="000A7BBA" w:rsidRDefault="00684E07">
            <w:r>
              <w:rPr>
                <w:color w:val="000000"/>
                <w:sz w:val="20"/>
                <w:szCs w:val="20"/>
              </w:rPr>
              <w:t>Caio Barbosa</w:t>
            </w:r>
          </w:p>
          <w:p w14:paraId="795F8CAF" w14:textId="77777777" w:rsidR="000A7BBA" w:rsidRDefault="00684E07">
            <w:r>
              <w:rPr>
                <w:color w:val="000000"/>
                <w:sz w:val="20"/>
                <w:szCs w:val="20"/>
              </w:rPr>
              <w:t>Davi Vaz</w:t>
            </w:r>
          </w:p>
        </w:tc>
        <w:tc>
          <w:tcPr>
            <w:tcW w:w="2257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A50D15" w14:textId="77777777" w:rsidR="000A7BBA" w:rsidRDefault="00684E07">
            <w:r>
              <w:rPr>
                <w:b/>
                <w:bCs/>
                <w:color w:val="666666"/>
                <w:sz w:val="20"/>
                <w:szCs w:val="20"/>
              </w:rPr>
              <w:t>Eixo:</w:t>
            </w:r>
          </w:p>
          <w:p w14:paraId="13F3D40B" w14:textId="77777777" w:rsidR="000A7BBA" w:rsidRDefault="00684E07">
            <w:r>
              <w:rPr>
                <w:color w:val="000000"/>
                <w:sz w:val="20"/>
                <w:szCs w:val="20"/>
              </w:rPr>
              <w:t>Q2 — Mercado e Formação UX</w:t>
            </w:r>
          </w:p>
        </w:tc>
        <w:tc>
          <w:tcPr>
            <w:tcW w:w="225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1A75AD" w14:textId="77777777" w:rsidR="000A7BBA" w:rsidRDefault="00684E07">
            <w:r>
              <w:rPr>
                <w:b/>
                <w:bCs/>
                <w:color w:val="666666"/>
                <w:sz w:val="20"/>
                <w:szCs w:val="20"/>
              </w:rPr>
              <w:t>Formato:</w:t>
            </w:r>
          </w:p>
          <w:p w14:paraId="6E2132DB" w14:textId="77777777" w:rsidR="000A7BBA" w:rsidRDefault="00684E07">
            <w:proofErr w:type="spellStart"/>
            <w:r>
              <w:rPr>
                <w:color w:val="000000"/>
                <w:sz w:val="20"/>
                <w:szCs w:val="20"/>
              </w:rPr>
              <w:t>Wireframe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/ </w:t>
            </w:r>
            <w:proofErr w:type="spellStart"/>
            <w:r>
              <w:rPr>
                <w:color w:val="000000"/>
                <w:sz w:val="20"/>
                <w:szCs w:val="20"/>
              </w:rPr>
              <w:t>Vibe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Coding</w:t>
            </w:r>
            <w:proofErr w:type="spellEnd"/>
          </w:p>
        </w:tc>
        <w:tc>
          <w:tcPr>
            <w:tcW w:w="225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A8E091" w14:textId="77777777" w:rsidR="000A7BBA" w:rsidRDefault="00684E07">
            <w:r>
              <w:rPr>
                <w:b/>
                <w:bCs/>
                <w:color w:val="666666"/>
                <w:sz w:val="20"/>
                <w:szCs w:val="20"/>
              </w:rPr>
              <w:t>Data:</w:t>
            </w:r>
          </w:p>
          <w:p w14:paraId="0BBBC876" w14:textId="77777777" w:rsidR="000A7BBA" w:rsidRDefault="00684E07">
            <w:r>
              <w:rPr>
                <w:color w:val="000000"/>
                <w:sz w:val="20"/>
                <w:szCs w:val="20"/>
              </w:rPr>
              <w:t>20 de maio de 2026</w:t>
            </w:r>
          </w:p>
        </w:tc>
      </w:tr>
    </w:tbl>
    <w:p w14:paraId="08ADC4CF" w14:textId="77777777" w:rsidR="000A7BBA" w:rsidRDefault="000A7BBA"/>
    <w:p w14:paraId="0D63EAF4" w14:textId="77777777" w:rsidR="000A7BBA" w:rsidRDefault="00684E07">
      <w:pPr>
        <w:pBdr>
          <w:bottom w:val="single" w:sz="6" w:space="4" w:color="B8860B"/>
        </w:pBdr>
        <w:spacing w:before="360" w:after="160"/>
      </w:pPr>
      <w:r>
        <w:rPr>
          <w:b/>
          <w:bCs/>
          <w:color w:val="B8860B"/>
          <w:sz w:val="24"/>
          <w:szCs w:val="24"/>
        </w:rPr>
        <w:t>INTRODUÇÃO</w:t>
      </w:r>
    </w:p>
    <w:p w14:paraId="4D395D7E" w14:textId="77777777" w:rsidR="000A7BBA" w:rsidRDefault="00684E07">
      <w:pPr>
        <w:spacing w:after="160"/>
        <w:jc w:val="both"/>
      </w:pPr>
      <w:r>
        <w:rPr>
          <w:color w:val="000000"/>
        </w:rPr>
        <w:t xml:space="preserve">Este relatório documenta a participação no IHC </w:t>
      </w:r>
      <w:proofErr w:type="spellStart"/>
      <w:r>
        <w:rPr>
          <w:color w:val="000000"/>
        </w:rPr>
        <w:t>Lab</w:t>
      </w:r>
      <w:proofErr w:type="spellEnd"/>
      <w:r>
        <w:rPr>
          <w:color w:val="000000"/>
        </w:rPr>
        <w:t xml:space="preserve"> — </w:t>
      </w:r>
      <w:proofErr w:type="spellStart"/>
      <w:r>
        <w:rPr>
          <w:color w:val="000000"/>
        </w:rPr>
        <w:t>Challenges</w:t>
      </w:r>
      <w:proofErr w:type="spellEnd"/>
      <w:r>
        <w:rPr>
          <w:color w:val="000000"/>
        </w:rPr>
        <w:t xml:space="preserve"> &amp; Desafios, evento integrante do Conecta CEUB 2026, conduzido pela Professora </w:t>
      </w:r>
      <w:proofErr w:type="spellStart"/>
      <w:r>
        <w:rPr>
          <w:color w:val="000000"/>
        </w:rPr>
        <w:t>Kadidja</w:t>
      </w:r>
      <w:proofErr w:type="spellEnd"/>
      <w:r>
        <w:rPr>
          <w:color w:val="000000"/>
        </w:rPr>
        <w:t xml:space="preserve"> Valéria.</w:t>
      </w:r>
      <w:r>
        <w:rPr>
          <w:color w:val="000000"/>
        </w:rPr>
        <w:t xml:space="preserve"> O laboratório propôs a aplicação prática dos conceitos do </w:t>
      </w:r>
      <w:proofErr w:type="spellStart"/>
      <w:r>
        <w:rPr>
          <w:color w:val="000000"/>
        </w:rPr>
        <w:t>GranDIHC</w:t>
      </w:r>
      <w:proofErr w:type="spellEnd"/>
      <w:r>
        <w:rPr>
          <w:color w:val="000000"/>
        </w:rPr>
        <w:t>-BR — os sete grandes desafios da Interação Humano-Computador no Brasil para o decênio 2025-2035 — com ênfase em inclusão digital, acessibilidade e formação profissional em UX.</w:t>
      </w:r>
    </w:p>
    <w:p w14:paraId="2CC49639" w14:textId="77777777" w:rsidR="000A7BBA" w:rsidRDefault="00684E07">
      <w:pPr>
        <w:spacing w:after="160"/>
        <w:jc w:val="both"/>
      </w:pPr>
      <w:r>
        <w:rPr>
          <w:color w:val="000000"/>
        </w:rPr>
        <w:t>O grupo opto</w:t>
      </w:r>
      <w:r>
        <w:rPr>
          <w:color w:val="000000"/>
        </w:rPr>
        <w:t>u pelo Eixo Q2: Mercado e Formação UX, cujo desafio central consiste em aproximar as práticas reais de UX do contexto sociocultural brasileiro, superando modelos importados que ignoram a diversidade de classe, raça e literacia digital da população. Como me</w:t>
      </w:r>
      <w:r>
        <w:rPr>
          <w:color w:val="000000"/>
        </w:rPr>
        <w:t xml:space="preserve">todologia de prototipagem, foi adotado o paradigma do </w:t>
      </w:r>
      <w:proofErr w:type="spellStart"/>
      <w:r>
        <w:rPr>
          <w:color w:val="000000"/>
        </w:rPr>
        <w:t>Vibe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Coding</w:t>
      </w:r>
      <w:proofErr w:type="spellEnd"/>
      <w:r>
        <w:rPr>
          <w:color w:val="000000"/>
        </w:rPr>
        <w:t xml:space="preserve"> — criação de protótipos funcionais a partir de linguagem natural mediada por inteligência artificial generativa, sem escrita manual de código.</w:t>
      </w:r>
    </w:p>
    <w:p w14:paraId="0CC3CE52" w14:textId="77777777" w:rsidR="000A7BBA" w:rsidRDefault="000A7BBA"/>
    <w:p w14:paraId="4ECEC973" w14:textId="77777777" w:rsidR="000A7BBA" w:rsidRDefault="00684E07">
      <w:pPr>
        <w:pBdr>
          <w:bottom w:val="single" w:sz="6" w:space="4" w:color="B8860B"/>
        </w:pBdr>
        <w:spacing w:before="360" w:after="160"/>
      </w:pPr>
      <w:r>
        <w:rPr>
          <w:b/>
          <w:bCs/>
          <w:color w:val="B8860B"/>
          <w:sz w:val="24"/>
          <w:szCs w:val="24"/>
        </w:rPr>
        <w:t>SÍNTESE DA PESQUISA — BIBLIOTECA SOL / SBC</w:t>
      </w:r>
    </w:p>
    <w:p w14:paraId="6E131A50" w14:textId="77777777" w:rsidR="000A7BBA" w:rsidRDefault="00684E07">
      <w:pPr>
        <w:spacing w:after="160"/>
        <w:jc w:val="both"/>
      </w:pPr>
      <w:r>
        <w:rPr>
          <w:color w:val="000000"/>
        </w:rPr>
        <w:t>Durante o Sprint 1 (20 minutos), o grupo realizou pesquisa orientada no acervo SOL da Sociedade Brasileira de Computação (SBC), identificando produções relacionadas ao Eixo Q2. Os principais achados foram:</w:t>
      </w:r>
    </w:p>
    <w:p w14:paraId="6DE57196" w14:textId="77777777" w:rsidR="000A7BBA" w:rsidRDefault="00684E07">
      <w:pPr>
        <w:pStyle w:val="PargrafodaLista"/>
        <w:numPr>
          <w:ilvl w:val="0"/>
          <w:numId w:val="2"/>
        </w:numPr>
        <w:spacing w:before="40" w:after="60"/>
        <w:jc w:val="both"/>
      </w:pPr>
      <w:r>
        <w:rPr>
          <w:color w:val="000000"/>
        </w:rPr>
        <w:t>Estudos sobre a lacuna entre formação acadêmica em</w:t>
      </w:r>
      <w:r>
        <w:rPr>
          <w:color w:val="000000"/>
        </w:rPr>
        <w:t xml:space="preserve"> IHC e as demandas reais do mercado de UX brasileiro, apontando ausência de currículos que abordem personas com baixa literacia digital.</w:t>
      </w:r>
    </w:p>
    <w:p w14:paraId="16437185" w14:textId="77777777" w:rsidR="000A7BBA" w:rsidRDefault="00684E07">
      <w:pPr>
        <w:pStyle w:val="PargrafodaLista"/>
        <w:numPr>
          <w:ilvl w:val="0"/>
          <w:numId w:val="2"/>
        </w:numPr>
        <w:spacing w:before="40" w:after="60"/>
        <w:jc w:val="both"/>
      </w:pPr>
      <w:r>
        <w:rPr>
          <w:color w:val="000000"/>
        </w:rPr>
        <w:t>Pesquisas sobre testes de usabilidade em aplicativos de saúde pública (SUS), evidenciando taxas elevadas de abandono ca</w:t>
      </w:r>
      <w:r>
        <w:rPr>
          <w:color w:val="000000"/>
        </w:rPr>
        <w:t>usadas por linguagem técnica e fluxos incompatíveis com usuários idosos e de baixa renda.</w:t>
      </w:r>
    </w:p>
    <w:p w14:paraId="3466AFB1" w14:textId="77777777" w:rsidR="000A7BBA" w:rsidRDefault="00684E07">
      <w:pPr>
        <w:pStyle w:val="PargrafodaLista"/>
        <w:numPr>
          <w:ilvl w:val="0"/>
          <w:numId w:val="2"/>
        </w:numPr>
        <w:spacing w:before="40" w:after="60"/>
        <w:jc w:val="both"/>
      </w:pPr>
      <w:r>
        <w:rPr>
          <w:color w:val="000000"/>
        </w:rPr>
        <w:t>Projetos de jogos sérios (</w:t>
      </w:r>
      <w:proofErr w:type="spellStart"/>
      <w:r>
        <w:rPr>
          <w:color w:val="000000"/>
        </w:rPr>
        <w:t>serious</w:t>
      </w:r>
      <w:proofErr w:type="spellEnd"/>
      <w:r>
        <w:rPr>
          <w:color w:val="000000"/>
        </w:rPr>
        <w:t xml:space="preserve"> games) aplicados ao ensino de heurísticas de Nielsen e metodologias de pesquisa com usuários, validados em contexto universitário br</w:t>
      </w:r>
      <w:r>
        <w:rPr>
          <w:color w:val="000000"/>
        </w:rPr>
        <w:t>asileiro.</w:t>
      </w:r>
    </w:p>
    <w:p w14:paraId="626EF1DD" w14:textId="77777777" w:rsidR="000A7BBA" w:rsidRDefault="00684E07">
      <w:pPr>
        <w:pStyle w:val="PargrafodaLista"/>
        <w:numPr>
          <w:ilvl w:val="0"/>
          <w:numId w:val="2"/>
        </w:numPr>
        <w:spacing w:before="40" w:after="60"/>
        <w:jc w:val="both"/>
      </w:pPr>
      <w:r>
        <w:rPr>
          <w:color w:val="000000"/>
        </w:rPr>
        <w:t xml:space="preserve">Referências ao </w:t>
      </w:r>
      <w:proofErr w:type="spellStart"/>
      <w:r>
        <w:rPr>
          <w:color w:val="000000"/>
        </w:rPr>
        <w:t>GranDIHC</w:t>
      </w:r>
      <w:proofErr w:type="spellEnd"/>
      <w:r>
        <w:rPr>
          <w:color w:val="000000"/>
        </w:rPr>
        <w:t>-BR reforçando que a formação em UX precisa incorporar diversidade sociocultural como critério central, não como apêndice de acessibilidade.</w:t>
      </w:r>
    </w:p>
    <w:p w14:paraId="55419FF3" w14:textId="77777777" w:rsidR="000A7BBA" w:rsidRDefault="000A7BBA"/>
    <w:p w14:paraId="51A1FFFF" w14:textId="77777777" w:rsidR="000A7BBA" w:rsidRDefault="00684E07">
      <w:pPr>
        <w:spacing w:after="160"/>
        <w:jc w:val="both"/>
      </w:pPr>
      <w:r>
        <w:rPr>
          <w:color w:val="000000"/>
        </w:rPr>
        <w:t>A pesquisa evidenciou que o mercado brasileiro carece de profissionais capacitado</w:t>
      </w:r>
      <w:r>
        <w:rPr>
          <w:color w:val="000000"/>
        </w:rPr>
        <w:t>s para conduzir pesquisas com usuários reais em contextos de vulnerabilidade digital — lacuna diretamente endereçada pela proposta do grupo.</w:t>
      </w:r>
    </w:p>
    <w:p w14:paraId="4EE6C7DB" w14:textId="77777777" w:rsidR="000A7BBA" w:rsidRDefault="000A7BBA"/>
    <w:p w14:paraId="068DFDD2" w14:textId="77777777" w:rsidR="000A7BBA" w:rsidRDefault="00684E07">
      <w:pPr>
        <w:pBdr>
          <w:bottom w:val="single" w:sz="6" w:space="4" w:color="B8860B"/>
        </w:pBdr>
        <w:spacing w:before="360" w:after="160"/>
      </w:pPr>
      <w:r>
        <w:rPr>
          <w:b/>
          <w:bCs/>
          <w:color w:val="B8860B"/>
          <w:sz w:val="24"/>
          <w:szCs w:val="24"/>
        </w:rPr>
        <w:t>DESCRIÇÃO DO PROTÓTIPO — THE UX GAME</w:t>
      </w:r>
    </w:p>
    <w:p w14:paraId="104F0BED" w14:textId="77777777" w:rsidR="000A7BBA" w:rsidRDefault="00684E07">
      <w:pPr>
        <w:spacing w:after="160"/>
        <w:jc w:val="both"/>
      </w:pPr>
      <w:r>
        <w:rPr>
          <w:color w:val="000000"/>
        </w:rPr>
        <w:t xml:space="preserve">O grupo desenvolveu um </w:t>
      </w:r>
      <w:proofErr w:type="spellStart"/>
      <w:r>
        <w:rPr>
          <w:color w:val="000000"/>
        </w:rPr>
        <w:t>wireframe</w:t>
      </w:r>
      <w:proofErr w:type="spellEnd"/>
      <w:r>
        <w:rPr>
          <w:color w:val="000000"/>
        </w:rPr>
        <w:t xml:space="preserve"> interativo de alta fidelidade de um jogo edu</w:t>
      </w:r>
      <w:r>
        <w:rPr>
          <w:color w:val="000000"/>
        </w:rPr>
        <w:t xml:space="preserve">cacional denominado The UX Game, utilizando </w:t>
      </w:r>
      <w:proofErr w:type="spellStart"/>
      <w:r>
        <w:rPr>
          <w:color w:val="000000"/>
        </w:rPr>
        <w:t>Vibe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Coding</w:t>
      </w:r>
      <w:proofErr w:type="spellEnd"/>
      <w:r>
        <w:rPr>
          <w:color w:val="000000"/>
        </w:rPr>
        <w:t xml:space="preserve"> via inteligência artificial generativa. O protótipo foi concebido inteiramente a partir de descrições em linguagem natural, sem escrita de código, conforme o paradigma proposto pelo desafio.</w:t>
      </w:r>
    </w:p>
    <w:p w14:paraId="43894423" w14:textId="77777777" w:rsidR="000A7BBA" w:rsidRDefault="00684E07">
      <w:pPr>
        <w:spacing w:before="200" w:after="80"/>
      </w:pPr>
      <w:r>
        <w:rPr>
          <w:b/>
          <w:bCs/>
          <w:color w:val="000000"/>
        </w:rPr>
        <w:t xml:space="preserve">Conceito </w:t>
      </w:r>
      <w:r>
        <w:rPr>
          <w:b/>
          <w:bCs/>
          <w:color w:val="000000"/>
        </w:rPr>
        <w:t>e objetivo</w:t>
      </w:r>
    </w:p>
    <w:p w14:paraId="0407BFAC" w14:textId="77777777" w:rsidR="000A7BBA" w:rsidRDefault="00684E07">
      <w:pPr>
        <w:spacing w:after="160"/>
        <w:jc w:val="both"/>
      </w:pPr>
      <w:r>
        <w:rPr>
          <w:color w:val="000000"/>
        </w:rPr>
        <w:t xml:space="preserve">O jogo posiciona o jogador como UX Designer júnior inserido em projetos reais do contexto brasileiro. Em cada cenário, o jogador recebe um briefing de cliente, identifica a persona envolvida e precisa tomar decisões sobre alocação de orçamento, </w:t>
      </w:r>
      <w:r>
        <w:rPr>
          <w:color w:val="000000"/>
        </w:rPr>
        <w:t>escolha de métodos de pesquisa e priorização de melhorias. Cada decisão gera consequências mensuráveis — redução de taxa de abandono, ganho de pontos de experiência, economia de recursos — promovendo aprendizagem ativa.</w:t>
      </w:r>
    </w:p>
    <w:p w14:paraId="3850CB81" w14:textId="77777777" w:rsidR="000A7BBA" w:rsidRDefault="00684E07">
      <w:pPr>
        <w:spacing w:before="200" w:after="80"/>
      </w:pPr>
      <w:r>
        <w:rPr>
          <w:b/>
          <w:bCs/>
          <w:color w:val="000000"/>
        </w:rPr>
        <w:t>Estrutura geral do fluxo (5 telas)</w:t>
      </w:r>
    </w:p>
    <w:p w14:paraId="0E9BD92D" w14:textId="77777777" w:rsidR="000A7BBA" w:rsidRDefault="00684E07">
      <w:pPr>
        <w:pStyle w:val="PargrafodaLista"/>
        <w:numPr>
          <w:ilvl w:val="0"/>
          <w:numId w:val="3"/>
        </w:numPr>
        <w:spacing w:before="40" w:after="60"/>
        <w:jc w:val="both"/>
      </w:pPr>
      <w:r>
        <w:rPr>
          <w:color w:val="000000"/>
        </w:rPr>
        <w:t>T</w:t>
      </w:r>
      <w:r>
        <w:rPr>
          <w:color w:val="000000"/>
        </w:rPr>
        <w:t>ela Inicial: apresentação do contexto, persona base e recursos disponíveis.</w:t>
      </w:r>
    </w:p>
    <w:p w14:paraId="0BE74780" w14:textId="77777777" w:rsidR="000A7BBA" w:rsidRDefault="00684E07">
      <w:pPr>
        <w:pStyle w:val="PargrafodaLista"/>
        <w:numPr>
          <w:ilvl w:val="0"/>
          <w:numId w:val="3"/>
        </w:numPr>
        <w:spacing w:before="40" w:after="60"/>
        <w:jc w:val="both"/>
      </w:pPr>
      <w:r>
        <w:rPr>
          <w:color w:val="000000"/>
        </w:rPr>
        <w:t>Tela de Cenário: briefing do cliente com persona detalhada.</w:t>
      </w:r>
    </w:p>
    <w:p w14:paraId="42AEBD29" w14:textId="77777777" w:rsidR="000A7BBA" w:rsidRDefault="00684E07">
      <w:pPr>
        <w:pStyle w:val="PargrafodaLista"/>
        <w:numPr>
          <w:ilvl w:val="0"/>
          <w:numId w:val="3"/>
        </w:numPr>
        <w:spacing w:before="40" w:after="60"/>
        <w:jc w:val="both"/>
      </w:pPr>
      <w:r>
        <w:rPr>
          <w:color w:val="000000"/>
        </w:rPr>
        <w:t>Tela de Decisão: três opções de ação com custos e implicações distintos, com feedback imediato.</w:t>
      </w:r>
    </w:p>
    <w:p w14:paraId="449BA88F" w14:textId="77777777" w:rsidR="000A7BBA" w:rsidRDefault="00684E07">
      <w:pPr>
        <w:pStyle w:val="PargrafodaLista"/>
        <w:numPr>
          <w:ilvl w:val="0"/>
          <w:numId w:val="3"/>
        </w:numPr>
        <w:spacing w:before="40" w:after="60"/>
        <w:jc w:val="both"/>
      </w:pPr>
      <w:r>
        <w:rPr>
          <w:color w:val="000000"/>
        </w:rPr>
        <w:t>Tela de Resultado: conse</w:t>
      </w:r>
      <w:r>
        <w:rPr>
          <w:color w:val="000000"/>
        </w:rPr>
        <w:t>quências da decisão e aprendizado IHC explicitado.</w:t>
      </w:r>
    </w:p>
    <w:p w14:paraId="229E478C" w14:textId="77777777" w:rsidR="000A7BBA" w:rsidRDefault="00684E07">
      <w:pPr>
        <w:pStyle w:val="PargrafodaLista"/>
        <w:numPr>
          <w:ilvl w:val="0"/>
          <w:numId w:val="3"/>
        </w:numPr>
        <w:spacing w:before="40" w:after="60"/>
        <w:jc w:val="both"/>
      </w:pPr>
      <w:r>
        <w:rPr>
          <w:color w:val="000000"/>
        </w:rPr>
        <w:t>Dashboard: progresso, competências desenvolvidas e próxima missão.</w:t>
      </w:r>
    </w:p>
    <w:p w14:paraId="2D2B9848" w14:textId="77777777" w:rsidR="000A7BBA" w:rsidRDefault="000A7BBA"/>
    <w:p w14:paraId="7C7DD480" w14:textId="77777777" w:rsidR="000A7BBA" w:rsidRDefault="00684E07">
      <w:pPr>
        <w:spacing w:before="200" w:after="80"/>
      </w:pPr>
      <w:r>
        <w:rPr>
          <w:b/>
          <w:bCs/>
          <w:color w:val="000000"/>
        </w:rPr>
        <w:t>Cenário 1 — Pesquisa com Usuário Real (App SUS)</w:t>
      </w:r>
    </w:p>
    <w:p w14:paraId="024E243F" w14:textId="77777777" w:rsidR="000A7BBA" w:rsidRDefault="00684E07">
      <w:pPr>
        <w:spacing w:after="160"/>
        <w:jc w:val="both"/>
      </w:pPr>
      <w:r>
        <w:rPr>
          <w:color w:val="000000"/>
        </w:rPr>
        <w:t>Cliente: App de agendamento do SUS. Persona: Maria, 58 anos, baixa literacia digital, cel</w:t>
      </w:r>
      <w:r>
        <w:rPr>
          <w:color w:val="000000"/>
        </w:rPr>
        <w:t>ular pré-pago. Orçamento: R$ 1.500. Problema: taxa de abandono de 67% na tela de cadastro. O cliente solicita uma interface mais bonita.</w:t>
      </w:r>
    </w:p>
    <w:p w14:paraId="0AD12E2D" w14:textId="77777777" w:rsidR="000A7BBA" w:rsidRDefault="00684E07">
      <w:pPr>
        <w:spacing w:after="160"/>
        <w:jc w:val="both"/>
      </w:pPr>
      <w:r>
        <w:rPr>
          <w:color w:val="000000"/>
        </w:rPr>
        <w:t>Opções disponíveis ao jogador:</w:t>
      </w:r>
    </w:p>
    <w:p w14:paraId="15E52B0D" w14:textId="77777777" w:rsidR="000A7BBA" w:rsidRDefault="00684E07">
      <w:pPr>
        <w:pStyle w:val="PargrafodaLista"/>
        <w:numPr>
          <w:ilvl w:val="0"/>
          <w:numId w:val="4"/>
        </w:numPr>
        <w:spacing w:before="40" w:after="60"/>
        <w:jc w:val="both"/>
      </w:pPr>
      <w:r>
        <w:rPr>
          <w:color w:val="000000"/>
        </w:rPr>
        <w:t xml:space="preserve">Contratar UI designer para </w:t>
      </w:r>
      <w:proofErr w:type="spellStart"/>
      <w:r>
        <w:rPr>
          <w:color w:val="000000"/>
        </w:rPr>
        <w:t>redesign</w:t>
      </w:r>
      <w:proofErr w:type="spellEnd"/>
      <w:r>
        <w:rPr>
          <w:color w:val="000000"/>
        </w:rPr>
        <w:t xml:space="preserve"> visual completo — R$ 1.400. (Incorreta: não resolve a causa raiz comportamental.)</w:t>
      </w:r>
    </w:p>
    <w:p w14:paraId="13B14CC3" w14:textId="77777777" w:rsidR="000A7BBA" w:rsidRDefault="00684E07">
      <w:pPr>
        <w:pStyle w:val="PargrafodaLista"/>
        <w:numPr>
          <w:ilvl w:val="0"/>
          <w:numId w:val="4"/>
        </w:numPr>
        <w:spacing w:before="40" w:after="60"/>
        <w:jc w:val="both"/>
      </w:pPr>
      <w:r>
        <w:rPr>
          <w:color w:val="000000"/>
        </w:rPr>
        <w:t xml:space="preserve">Realizar pesquisa com 5 usuários reais via teste de usabilidade contextual — R$ 600. (Correta: revela que o campo CPF bloqueava Maria por </w:t>
      </w:r>
      <w:r>
        <w:rPr>
          <w:color w:val="000000"/>
        </w:rPr>
        <w:t>dúvida sobre pontuação.)</w:t>
      </w:r>
    </w:p>
    <w:p w14:paraId="13DA7E2A" w14:textId="77777777" w:rsidR="000A7BBA" w:rsidRDefault="00684E07">
      <w:pPr>
        <w:pStyle w:val="PargrafodaLista"/>
        <w:numPr>
          <w:ilvl w:val="0"/>
          <w:numId w:val="4"/>
        </w:numPr>
        <w:spacing w:before="40" w:after="60"/>
        <w:jc w:val="both"/>
      </w:pPr>
      <w:r>
        <w:rPr>
          <w:color w:val="000000"/>
        </w:rPr>
        <w:t>Conduzir análise heurística interna pelo próprio time — R$ 0. (Incorreta: sem contato com o usuário real, o problema permanece invisível.)</w:t>
      </w:r>
    </w:p>
    <w:p w14:paraId="4026DE9F" w14:textId="77777777" w:rsidR="000A7BBA" w:rsidRDefault="000A7BBA"/>
    <w:p w14:paraId="2E37554A" w14:textId="77777777" w:rsidR="000A7BBA" w:rsidRDefault="00684E07">
      <w:pPr>
        <w:spacing w:after="160"/>
        <w:jc w:val="both"/>
      </w:pPr>
      <w:r>
        <w:rPr>
          <w:color w:val="000000"/>
        </w:rPr>
        <w:t>Resultado da decisão correta: redução de 42% na taxa de abandono, economia de R$ 900, ganho</w:t>
      </w:r>
      <w:r>
        <w:rPr>
          <w:color w:val="000000"/>
        </w:rPr>
        <w:t xml:space="preserve"> de 80 XP. Aprendizado: pesquisa com usuários reais supera </w:t>
      </w:r>
      <w:proofErr w:type="spellStart"/>
      <w:r>
        <w:rPr>
          <w:color w:val="000000"/>
        </w:rPr>
        <w:t>redesign</w:t>
      </w:r>
      <w:proofErr w:type="spellEnd"/>
      <w:r>
        <w:rPr>
          <w:color w:val="000000"/>
        </w:rPr>
        <w:t xml:space="preserve"> estético. No contexto brasileiro, literacia digital baixa exige testes com personas reais, não heurísticas de mercado europeu.</w:t>
      </w:r>
    </w:p>
    <w:p w14:paraId="1BCFB9AC" w14:textId="77777777" w:rsidR="000A7BBA" w:rsidRDefault="000A7BBA"/>
    <w:p w14:paraId="0B12C165" w14:textId="77777777" w:rsidR="000A7BBA" w:rsidRDefault="00684E07">
      <w:pPr>
        <w:spacing w:before="200" w:after="80"/>
      </w:pPr>
      <w:r>
        <w:rPr>
          <w:b/>
          <w:bCs/>
          <w:color w:val="000000"/>
        </w:rPr>
        <w:t>Cenário 2 — Acessibilidade Visual (</w:t>
      </w:r>
      <w:proofErr w:type="spellStart"/>
      <w:r>
        <w:rPr>
          <w:b/>
          <w:bCs/>
          <w:color w:val="000000"/>
        </w:rPr>
        <w:t>eMAG</w:t>
      </w:r>
      <w:proofErr w:type="spellEnd"/>
      <w:r>
        <w:rPr>
          <w:b/>
          <w:bCs/>
          <w:color w:val="000000"/>
        </w:rPr>
        <w:t xml:space="preserve"> / WCAG)</w:t>
      </w:r>
    </w:p>
    <w:p w14:paraId="69920539" w14:textId="77777777" w:rsidR="000A7BBA" w:rsidRDefault="00684E07">
      <w:pPr>
        <w:spacing w:after="160"/>
        <w:jc w:val="both"/>
      </w:pPr>
      <w:r>
        <w:rPr>
          <w:color w:val="000000"/>
        </w:rPr>
        <w:t>Cliente: Por</w:t>
      </w:r>
      <w:r>
        <w:rPr>
          <w:color w:val="000000"/>
        </w:rPr>
        <w:t>tal de matrículas escolares do MEC. Persona: João, 34 anos, deficiência visual desde os 22, usa NVDA + Chrome, professor de escola pública. Orçamento: R$ 2.000. Problema: 40% dos usuários com deficiência visual relatam que o leitor de tela não consegue nav</w:t>
      </w:r>
      <w:r>
        <w:rPr>
          <w:color w:val="000000"/>
        </w:rPr>
        <w:t>egar pelo formulário de inscrição.</w:t>
      </w:r>
    </w:p>
    <w:p w14:paraId="21DF4B21" w14:textId="77777777" w:rsidR="000A7BBA" w:rsidRDefault="00684E07">
      <w:pPr>
        <w:spacing w:after="160"/>
        <w:jc w:val="both"/>
      </w:pPr>
      <w:r>
        <w:rPr>
          <w:color w:val="000000"/>
        </w:rPr>
        <w:t>Opções disponíveis ao jogador:</w:t>
      </w:r>
    </w:p>
    <w:p w14:paraId="0E51E84A" w14:textId="77777777" w:rsidR="000A7BBA" w:rsidRDefault="00684E07">
      <w:pPr>
        <w:pStyle w:val="PargrafodaLista"/>
        <w:numPr>
          <w:ilvl w:val="0"/>
          <w:numId w:val="5"/>
        </w:numPr>
        <w:spacing w:before="40" w:after="60"/>
        <w:jc w:val="both"/>
      </w:pPr>
      <w:r>
        <w:rPr>
          <w:color w:val="000000"/>
        </w:rPr>
        <w:t>Adicionar botão modo acessível que altera as cores da página. (Incorreta: não resolve a estrutura do código; WCAG 1.3.1 e 4.1.2 exigem marcação semântica.)</w:t>
      </w:r>
    </w:p>
    <w:p w14:paraId="7749144E" w14:textId="77777777" w:rsidR="000A7BBA" w:rsidRDefault="00684E07">
      <w:pPr>
        <w:pStyle w:val="PargrafodaLista"/>
        <w:numPr>
          <w:ilvl w:val="0"/>
          <w:numId w:val="5"/>
        </w:numPr>
        <w:spacing w:before="40" w:after="60"/>
        <w:jc w:val="both"/>
      </w:pPr>
      <w:r>
        <w:rPr>
          <w:color w:val="000000"/>
        </w:rPr>
        <w:t>Realizar auditoria com NVDA, corri</w:t>
      </w:r>
      <w:r>
        <w:rPr>
          <w:color w:val="000000"/>
        </w:rPr>
        <w:t xml:space="preserve">gir ordem de leitura e adicionar </w:t>
      </w:r>
      <w:proofErr w:type="spellStart"/>
      <w:r>
        <w:rPr>
          <w:color w:val="000000"/>
        </w:rPr>
        <w:t>labels</w:t>
      </w:r>
      <w:proofErr w:type="spellEnd"/>
      <w:r>
        <w:rPr>
          <w:color w:val="000000"/>
        </w:rPr>
        <w:t xml:space="preserve"> semânticos nos campos do formulário. (Correta: ataca a causa raiz com custo dentro do orçamento.)</w:t>
      </w:r>
    </w:p>
    <w:p w14:paraId="499CE1BB" w14:textId="77777777" w:rsidR="000A7BBA" w:rsidRDefault="00684E07">
      <w:pPr>
        <w:pStyle w:val="PargrafodaLista"/>
        <w:numPr>
          <w:ilvl w:val="0"/>
          <w:numId w:val="5"/>
        </w:numPr>
        <w:spacing w:before="40" w:after="60"/>
        <w:jc w:val="both"/>
      </w:pPr>
      <w:r>
        <w:rPr>
          <w:color w:val="000000"/>
        </w:rPr>
        <w:t xml:space="preserve">Contratar empresa especializada em acessibilidade para </w:t>
      </w:r>
      <w:proofErr w:type="spellStart"/>
      <w:r>
        <w:rPr>
          <w:color w:val="000000"/>
        </w:rPr>
        <w:t>redesign</w:t>
      </w:r>
      <w:proofErr w:type="spellEnd"/>
      <w:r>
        <w:rPr>
          <w:color w:val="000000"/>
        </w:rPr>
        <w:t xml:space="preserve"> completo. (Incorreta: orçamento insuficiente e prazo i</w:t>
      </w:r>
      <w:r>
        <w:rPr>
          <w:color w:val="000000"/>
        </w:rPr>
        <w:t>ncompatível.)</w:t>
      </w:r>
    </w:p>
    <w:p w14:paraId="228CA444" w14:textId="77777777" w:rsidR="000A7BBA" w:rsidRDefault="000A7BBA"/>
    <w:p w14:paraId="08869CAC" w14:textId="77777777" w:rsidR="000A7BBA" w:rsidRDefault="00684E07">
      <w:pPr>
        <w:spacing w:after="160"/>
        <w:jc w:val="both"/>
      </w:pPr>
      <w:r>
        <w:rPr>
          <w:color w:val="000000"/>
        </w:rPr>
        <w:t>Resultado da decisão correta: 100% dos campos passíveis de leitura pelo NVDA após a correção, redução de 55% nas reclamações de acessibilidade, ganho de 90 XP. Aprendizado: acessibilidade digital não é cosmética, é estrutura de código. Alinh</w:t>
      </w:r>
      <w:r>
        <w:rPr>
          <w:color w:val="000000"/>
        </w:rPr>
        <w:t xml:space="preserve">amento direto com </w:t>
      </w:r>
      <w:proofErr w:type="spellStart"/>
      <w:r>
        <w:rPr>
          <w:color w:val="000000"/>
        </w:rPr>
        <w:t>eMAG</w:t>
      </w:r>
      <w:proofErr w:type="spellEnd"/>
      <w:r>
        <w:rPr>
          <w:color w:val="000000"/>
        </w:rPr>
        <w:t xml:space="preserve"> e WCAG 1.3.1 / 4.1.2.</w:t>
      </w:r>
    </w:p>
    <w:p w14:paraId="2F352F67" w14:textId="77777777" w:rsidR="000A7BBA" w:rsidRDefault="000A7BBA"/>
    <w:p w14:paraId="26684FBF" w14:textId="77777777" w:rsidR="000A7BBA" w:rsidRDefault="00684E07">
      <w:pPr>
        <w:spacing w:before="200" w:after="80"/>
      </w:pPr>
      <w:r>
        <w:rPr>
          <w:b/>
          <w:bCs/>
          <w:color w:val="000000"/>
        </w:rPr>
        <w:t xml:space="preserve">Cenário 3 — </w:t>
      </w:r>
      <w:proofErr w:type="spellStart"/>
      <w:r>
        <w:rPr>
          <w:b/>
          <w:bCs/>
          <w:color w:val="000000"/>
        </w:rPr>
        <w:t>Decolonialidade</w:t>
      </w:r>
      <w:proofErr w:type="spellEnd"/>
      <w:r>
        <w:rPr>
          <w:b/>
          <w:bCs/>
          <w:color w:val="000000"/>
        </w:rPr>
        <w:t xml:space="preserve"> e </w:t>
      </w:r>
      <w:proofErr w:type="spellStart"/>
      <w:r>
        <w:rPr>
          <w:b/>
          <w:bCs/>
          <w:color w:val="000000"/>
        </w:rPr>
        <w:t>Co-design</w:t>
      </w:r>
      <w:proofErr w:type="spellEnd"/>
      <w:r>
        <w:rPr>
          <w:b/>
          <w:bCs/>
          <w:color w:val="000000"/>
        </w:rPr>
        <w:t xml:space="preserve"> (Comunidades Quilombolas)</w:t>
      </w:r>
    </w:p>
    <w:p w14:paraId="0AC81740" w14:textId="77777777" w:rsidR="000A7BBA" w:rsidRDefault="00684E07">
      <w:pPr>
        <w:spacing w:after="160"/>
        <w:jc w:val="both"/>
      </w:pPr>
      <w:r>
        <w:rPr>
          <w:color w:val="000000"/>
        </w:rPr>
        <w:t>Cliente: App de telemedicina para comunidades quilombolas no Maranhão. Persona: Dona Conceição, 61 anos, liderança comunitária quilombola, nunca</w:t>
      </w:r>
      <w:r>
        <w:rPr>
          <w:color w:val="000000"/>
        </w:rPr>
        <w:t xml:space="preserve"> usou smartphone antes do projeto. Orçamento: R$ 3.000. Problema: adesão de apenas 12% — interface usa ícones e metáforas urbanas incompatíveis com o contexto cultural local.</w:t>
      </w:r>
    </w:p>
    <w:p w14:paraId="3930A2F4" w14:textId="77777777" w:rsidR="000A7BBA" w:rsidRDefault="00684E07">
      <w:pPr>
        <w:spacing w:after="160"/>
        <w:jc w:val="both"/>
      </w:pPr>
      <w:r>
        <w:rPr>
          <w:color w:val="000000"/>
        </w:rPr>
        <w:t>Opções disponíveis ao jogador:</w:t>
      </w:r>
    </w:p>
    <w:p w14:paraId="19E84708" w14:textId="77777777" w:rsidR="000A7BBA" w:rsidRDefault="00684E07">
      <w:pPr>
        <w:pStyle w:val="PargrafodaLista"/>
        <w:numPr>
          <w:ilvl w:val="0"/>
          <w:numId w:val="6"/>
        </w:numPr>
        <w:spacing w:before="40" w:after="60"/>
        <w:jc w:val="both"/>
      </w:pPr>
      <w:r>
        <w:rPr>
          <w:color w:val="000000"/>
        </w:rPr>
        <w:t>Traduzir o app para português simplificado. (Incor</w:t>
      </w:r>
      <w:r>
        <w:rPr>
          <w:color w:val="000000"/>
        </w:rPr>
        <w:t>reta: o problema não é o texto, é a metáfora cultural subjacente.)</w:t>
      </w:r>
    </w:p>
    <w:p w14:paraId="7EF9AFF4" w14:textId="77777777" w:rsidR="000A7BBA" w:rsidRDefault="00684E07">
      <w:pPr>
        <w:pStyle w:val="PargrafodaLista"/>
        <w:numPr>
          <w:ilvl w:val="0"/>
          <w:numId w:val="6"/>
        </w:numPr>
        <w:spacing w:before="40" w:after="60"/>
        <w:jc w:val="both"/>
      </w:pPr>
      <w:r>
        <w:rPr>
          <w:color w:val="000000"/>
        </w:rPr>
        <w:t>Contratar designer de São Paulo para modernizar a interface. (Incorreta: reproduz os mesmos padrões eurocêntricos que geraram o problema.)</w:t>
      </w:r>
    </w:p>
    <w:p w14:paraId="4BE030BB" w14:textId="77777777" w:rsidR="000A7BBA" w:rsidRDefault="00684E07">
      <w:pPr>
        <w:pStyle w:val="PargrafodaLista"/>
        <w:numPr>
          <w:ilvl w:val="0"/>
          <w:numId w:val="6"/>
        </w:numPr>
        <w:spacing w:before="40" w:after="60"/>
        <w:jc w:val="both"/>
      </w:pPr>
      <w:r>
        <w:rPr>
          <w:color w:val="000000"/>
        </w:rPr>
        <w:t xml:space="preserve">Realizar </w:t>
      </w:r>
      <w:proofErr w:type="spellStart"/>
      <w:r>
        <w:rPr>
          <w:color w:val="000000"/>
        </w:rPr>
        <w:t>co-design</w:t>
      </w:r>
      <w:proofErr w:type="spellEnd"/>
      <w:r>
        <w:rPr>
          <w:color w:val="000000"/>
        </w:rPr>
        <w:t xml:space="preserve"> presencial: workshop com Dona C</w:t>
      </w:r>
      <w:r>
        <w:rPr>
          <w:color w:val="000000"/>
        </w:rPr>
        <w:t xml:space="preserve">onceição e 4 lideranças para redesenhar ícones e fluxos com referências culturais locais. (Correta: design participativo e </w:t>
      </w:r>
      <w:proofErr w:type="spellStart"/>
      <w:r>
        <w:rPr>
          <w:color w:val="000000"/>
        </w:rPr>
        <w:t>decolonial</w:t>
      </w:r>
      <w:proofErr w:type="spellEnd"/>
      <w:r>
        <w:rPr>
          <w:color w:val="000000"/>
        </w:rPr>
        <w:t>.)</w:t>
      </w:r>
    </w:p>
    <w:p w14:paraId="72BA50F8" w14:textId="77777777" w:rsidR="000A7BBA" w:rsidRDefault="000A7BBA"/>
    <w:p w14:paraId="70C12E88" w14:textId="0F46BA70" w:rsidR="000A7BBA" w:rsidRDefault="00684E07">
      <w:pPr>
        <w:spacing w:after="160"/>
        <w:jc w:val="both"/>
        <w:rPr>
          <w:color w:val="000000"/>
        </w:rPr>
      </w:pPr>
      <w:r>
        <w:rPr>
          <w:color w:val="000000"/>
        </w:rPr>
        <w:t xml:space="preserve">Resultado da decisão correta: adesão sobe de 12% para 61% após o </w:t>
      </w:r>
      <w:proofErr w:type="spellStart"/>
      <w:r>
        <w:rPr>
          <w:color w:val="000000"/>
        </w:rPr>
        <w:t>redesign</w:t>
      </w:r>
      <w:proofErr w:type="spellEnd"/>
      <w:r>
        <w:rPr>
          <w:color w:val="000000"/>
        </w:rPr>
        <w:t xml:space="preserve"> participativo, confiança da comunidade no ser</w:t>
      </w:r>
      <w:r>
        <w:rPr>
          <w:color w:val="000000"/>
        </w:rPr>
        <w:t xml:space="preserve">viço aumenta, ganho de 100 XP. Aprendizado: design </w:t>
      </w:r>
      <w:proofErr w:type="spellStart"/>
      <w:r>
        <w:rPr>
          <w:color w:val="000000"/>
        </w:rPr>
        <w:t>decolonial</w:t>
      </w:r>
      <w:proofErr w:type="spellEnd"/>
      <w:r>
        <w:rPr>
          <w:color w:val="000000"/>
        </w:rPr>
        <w:t xml:space="preserve"> não é simplificar, é ouvir. </w:t>
      </w:r>
      <w:proofErr w:type="spellStart"/>
      <w:r>
        <w:rPr>
          <w:color w:val="000000"/>
        </w:rPr>
        <w:t>Co-design</w:t>
      </w:r>
      <w:proofErr w:type="spellEnd"/>
      <w:r>
        <w:rPr>
          <w:color w:val="000000"/>
        </w:rPr>
        <w:t xml:space="preserve"> com a comunidade é o único método que resolve isso de forma sustentável.</w:t>
      </w:r>
    </w:p>
    <w:p w14:paraId="276B1642" w14:textId="5241A4F6" w:rsidR="00684E07" w:rsidRDefault="00684E07">
      <w:pPr>
        <w:spacing w:after="160"/>
        <w:jc w:val="both"/>
      </w:pPr>
      <w:r w:rsidRPr="006A4E3E">
        <w:rPr>
          <w:rFonts w:ascii="Times New Roman" w:eastAsia="Times New Roman" w:hAnsi="Times New Roman" w:cs="Times New Roman"/>
          <w:b/>
          <w:bCs/>
          <w:sz w:val="24"/>
          <w:szCs w:val="24"/>
        </w:rPr>
        <w:t>Inspiração e Conceito Visual:</w:t>
      </w:r>
      <w:r w:rsidRPr="006A4E3E">
        <w:rPr>
          <w:rFonts w:ascii="Times New Roman" w:eastAsia="Times New Roman" w:hAnsi="Times New Roman" w:cs="Times New Roman"/>
          <w:sz w:val="24"/>
          <w:szCs w:val="24"/>
        </w:rPr>
        <w:t xml:space="preserve"> A metáfora central da bola oracular foi inspirada no </w:t>
      </w:r>
      <w:proofErr w:type="spellStart"/>
      <w:r w:rsidRPr="006A4E3E">
        <w:rPr>
          <w:rFonts w:ascii="Times New Roman" w:eastAsia="Times New Roman" w:hAnsi="Times New Roman" w:cs="Times New Roman"/>
          <w:sz w:val="24"/>
          <w:szCs w:val="24"/>
        </w:rPr>
        <w:t>template</w:t>
      </w:r>
      <w:proofErr w:type="spellEnd"/>
      <w:r w:rsidRPr="006A4E3E">
        <w:rPr>
          <w:rFonts w:ascii="Times New Roman" w:eastAsia="Times New Roman" w:hAnsi="Times New Roman" w:cs="Times New Roman"/>
          <w:sz w:val="24"/>
          <w:szCs w:val="24"/>
        </w:rPr>
        <w:t xml:space="preserve"> "A Bola do Destino" do </w:t>
      </w:r>
      <w:proofErr w:type="spellStart"/>
      <w:r w:rsidRPr="006A4E3E">
        <w:rPr>
          <w:rFonts w:ascii="Times New Roman" w:eastAsia="Times New Roman" w:hAnsi="Times New Roman" w:cs="Times New Roman"/>
          <w:sz w:val="24"/>
          <w:szCs w:val="24"/>
        </w:rPr>
        <w:t>Genially</w:t>
      </w:r>
      <w:proofErr w:type="spellEnd"/>
      <w:r w:rsidRPr="006A4E3E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hyperlink r:id="rId6" w:history="1">
        <w:r w:rsidRPr="006A4E3E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https://genially.com/pt-br/modelo/a-bola-do-destino/</w:t>
        </w:r>
      </w:hyperlink>
      <w:r w:rsidRPr="006A4E3E">
        <w:rPr>
          <w:rFonts w:ascii="Times New Roman" w:eastAsia="Times New Roman" w:hAnsi="Times New Roman" w:cs="Times New Roman"/>
          <w:sz w:val="24"/>
          <w:szCs w:val="24"/>
        </w:rPr>
        <w:t>). A mecânica de consulta e decisão foi mantida, porém toda a interface foi reconstruída do zero em HTML/CSS/JS puro, com lógica pedagógica própria adaptada para o contexto educacional de IHC/UX com cenários brasileiros reais</w:t>
      </w:r>
    </w:p>
    <w:p w14:paraId="3E22FBBC" w14:textId="77777777" w:rsidR="000A7BBA" w:rsidRDefault="000A7BBA"/>
    <w:p w14:paraId="5F203D87" w14:textId="77777777" w:rsidR="000A7BBA" w:rsidRDefault="00684E07">
      <w:pPr>
        <w:pBdr>
          <w:bottom w:val="single" w:sz="6" w:space="4" w:color="B8860B"/>
        </w:pBdr>
        <w:spacing w:before="360" w:after="160"/>
      </w:pPr>
      <w:r>
        <w:rPr>
          <w:b/>
          <w:bCs/>
          <w:color w:val="B8860B"/>
          <w:sz w:val="24"/>
          <w:szCs w:val="24"/>
        </w:rPr>
        <w:t>RESULTADOS</w:t>
      </w:r>
    </w:p>
    <w:p w14:paraId="72E542E6" w14:textId="77777777" w:rsidR="000A7BBA" w:rsidRDefault="00684E07">
      <w:pPr>
        <w:spacing w:after="160"/>
        <w:jc w:val="both"/>
      </w:pPr>
      <w:r>
        <w:rPr>
          <w:color w:val="000000"/>
        </w:rPr>
        <w:t>A experiência do laboratório produziu os seguintes resultados concretos:</w:t>
      </w:r>
    </w:p>
    <w:p w14:paraId="6044701B" w14:textId="77777777" w:rsidR="000A7BBA" w:rsidRDefault="00684E07">
      <w:pPr>
        <w:pStyle w:val="PargrafodaLista"/>
        <w:numPr>
          <w:ilvl w:val="0"/>
          <w:numId w:val="3"/>
        </w:numPr>
        <w:spacing w:before="40" w:after="60"/>
        <w:jc w:val="both"/>
      </w:pPr>
      <w:r>
        <w:rPr>
          <w:color w:val="000000"/>
        </w:rPr>
        <w:t xml:space="preserve">Protótipo navegável de 5 telas do The UX Game com 3 cenários completos, desenvolvido integralmente via </w:t>
      </w:r>
      <w:proofErr w:type="spellStart"/>
      <w:r>
        <w:rPr>
          <w:color w:val="000000"/>
        </w:rPr>
        <w:t>Vibe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Coding</w:t>
      </w:r>
      <w:proofErr w:type="spellEnd"/>
      <w:r>
        <w:rPr>
          <w:color w:val="000000"/>
        </w:rPr>
        <w:t xml:space="preserve"> em menos de 30 minutos.</w:t>
      </w:r>
    </w:p>
    <w:p w14:paraId="3C8DB412" w14:textId="77777777" w:rsidR="000A7BBA" w:rsidRDefault="00684E07">
      <w:pPr>
        <w:pStyle w:val="PargrafodaLista"/>
        <w:numPr>
          <w:ilvl w:val="0"/>
          <w:numId w:val="3"/>
        </w:numPr>
        <w:spacing w:before="40" w:after="60"/>
        <w:jc w:val="both"/>
      </w:pPr>
      <w:r>
        <w:rPr>
          <w:color w:val="000000"/>
        </w:rPr>
        <w:t>Mapeamento de barreiras reais de formação em</w:t>
      </w:r>
      <w:r>
        <w:rPr>
          <w:color w:val="000000"/>
        </w:rPr>
        <w:t xml:space="preserve"> UX no Brasil, fundamentado em artigos da Biblioteca SOL/SBC, com identificação de lacunas curriculares e metodológicas.</w:t>
      </w:r>
    </w:p>
    <w:p w14:paraId="2341DE79" w14:textId="77777777" w:rsidR="000A7BBA" w:rsidRDefault="00684E07">
      <w:pPr>
        <w:pStyle w:val="PargrafodaLista"/>
        <w:numPr>
          <w:ilvl w:val="0"/>
          <w:numId w:val="3"/>
        </w:numPr>
        <w:spacing w:before="40" w:after="60"/>
        <w:jc w:val="both"/>
      </w:pPr>
      <w:r>
        <w:rPr>
          <w:color w:val="000000"/>
        </w:rPr>
        <w:t xml:space="preserve">Aplicação prática das heurísticas de Nielsen, diretrizes </w:t>
      </w:r>
      <w:proofErr w:type="spellStart"/>
      <w:r>
        <w:rPr>
          <w:color w:val="000000"/>
        </w:rPr>
        <w:t>eMAG</w:t>
      </w:r>
      <w:proofErr w:type="spellEnd"/>
      <w:r>
        <w:rPr>
          <w:color w:val="000000"/>
        </w:rPr>
        <w:t xml:space="preserve">/WCAG e princípios de design </w:t>
      </w:r>
      <w:proofErr w:type="spellStart"/>
      <w:r>
        <w:rPr>
          <w:color w:val="000000"/>
        </w:rPr>
        <w:t>decolonial</w:t>
      </w:r>
      <w:proofErr w:type="spellEnd"/>
      <w:r>
        <w:rPr>
          <w:color w:val="000000"/>
        </w:rPr>
        <w:t xml:space="preserve"> em formato </w:t>
      </w:r>
      <w:proofErr w:type="spellStart"/>
      <w:r>
        <w:rPr>
          <w:color w:val="000000"/>
        </w:rPr>
        <w:t>gamificado</w:t>
      </w:r>
      <w:proofErr w:type="spellEnd"/>
      <w:r>
        <w:rPr>
          <w:color w:val="000000"/>
        </w:rPr>
        <w:t xml:space="preserve">, tornando o </w:t>
      </w:r>
      <w:r>
        <w:rPr>
          <w:color w:val="000000"/>
        </w:rPr>
        <w:t>conteúdo acessível para estudantes sem experiência prévia em UX.</w:t>
      </w:r>
    </w:p>
    <w:p w14:paraId="310089D2" w14:textId="77777777" w:rsidR="000A7BBA" w:rsidRDefault="000A7BBA"/>
    <w:p w14:paraId="7CB40A2A" w14:textId="77777777" w:rsidR="000A7BBA" w:rsidRDefault="00684E07">
      <w:pPr>
        <w:pBdr>
          <w:bottom w:val="single" w:sz="6" w:space="4" w:color="B8860B"/>
        </w:pBdr>
        <w:spacing w:before="360" w:after="160"/>
      </w:pPr>
      <w:r>
        <w:rPr>
          <w:b/>
          <w:bCs/>
          <w:color w:val="B8860B"/>
          <w:sz w:val="24"/>
          <w:szCs w:val="24"/>
        </w:rPr>
        <w:t>CONCLUSÃO</w:t>
      </w:r>
    </w:p>
    <w:p w14:paraId="21F6D509" w14:textId="77777777" w:rsidR="000A7BBA" w:rsidRDefault="00684E07">
      <w:pPr>
        <w:spacing w:after="160"/>
        <w:jc w:val="both"/>
      </w:pPr>
      <w:r>
        <w:rPr>
          <w:color w:val="000000"/>
        </w:rPr>
        <w:t xml:space="preserve">O desafio IHC </w:t>
      </w:r>
      <w:proofErr w:type="spellStart"/>
      <w:r>
        <w:rPr>
          <w:color w:val="000000"/>
        </w:rPr>
        <w:t>Lab</w:t>
      </w:r>
      <w:proofErr w:type="spellEnd"/>
      <w:r>
        <w:rPr>
          <w:color w:val="000000"/>
        </w:rPr>
        <w:t xml:space="preserve"> evidenciou que o </w:t>
      </w:r>
      <w:proofErr w:type="spellStart"/>
      <w:r>
        <w:rPr>
          <w:color w:val="000000"/>
        </w:rPr>
        <w:t>Vibe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Coding</w:t>
      </w:r>
      <w:proofErr w:type="spellEnd"/>
      <w:r>
        <w:rPr>
          <w:color w:val="000000"/>
        </w:rPr>
        <w:t xml:space="preserve"> representa uma mudança de paradigma relevante para a área de IHC: ao deslocar o foco do como codificar para o que criar, democratiza </w:t>
      </w:r>
      <w:r>
        <w:rPr>
          <w:color w:val="000000"/>
        </w:rPr>
        <w:t>a prototipagem e permite que estudantes e pesquisadores de UX testem hipóteses de design com usuários reais em tempo recorde.</w:t>
      </w:r>
    </w:p>
    <w:p w14:paraId="155783C7" w14:textId="3B625A0B" w:rsidR="000A7BBA" w:rsidRDefault="00684E07">
      <w:pPr>
        <w:spacing w:after="160"/>
        <w:jc w:val="both"/>
        <w:rPr>
          <w:color w:val="000000"/>
        </w:rPr>
      </w:pPr>
      <w:r>
        <w:rPr>
          <w:color w:val="000000"/>
        </w:rPr>
        <w:t xml:space="preserve">Os três cenários do The UX Game — pesquisa com usuário real, acessibilidade para deficientes visuais e </w:t>
      </w:r>
      <w:proofErr w:type="spellStart"/>
      <w:r>
        <w:rPr>
          <w:color w:val="000000"/>
        </w:rPr>
        <w:t>co-design</w:t>
      </w:r>
      <w:proofErr w:type="spellEnd"/>
      <w:r>
        <w:rPr>
          <w:color w:val="000000"/>
        </w:rPr>
        <w:t xml:space="preserve"> com comunidades q</w:t>
      </w:r>
      <w:r>
        <w:rPr>
          <w:color w:val="000000"/>
        </w:rPr>
        <w:t xml:space="preserve">uilombolas — cobrem de forma complementar os principais desafios do </w:t>
      </w:r>
      <w:proofErr w:type="spellStart"/>
      <w:r>
        <w:rPr>
          <w:color w:val="000000"/>
        </w:rPr>
        <w:t>GranDIHC</w:t>
      </w:r>
      <w:proofErr w:type="spellEnd"/>
      <w:r>
        <w:rPr>
          <w:color w:val="000000"/>
        </w:rPr>
        <w:t xml:space="preserve">-BR: formação profissional, inclusão digital e </w:t>
      </w:r>
      <w:proofErr w:type="spellStart"/>
      <w:r>
        <w:rPr>
          <w:color w:val="000000"/>
        </w:rPr>
        <w:t>decolonialidade</w:t>
      </w:r>
      <w:proofErr w:type="spellEnd"/>
      <w:r>
        <w:rPr>
          <w:color w:val="000000"/>
        </w:rPr>
        <w:t xml:space="preserve">. Cada cenário demonstra que a solução tecnicamente correta nem sempre é a mais óbvia, e que o contexto sociocultural </w:t>
      </w:r>
      <w:r>
        <w:rPr>
          <w:color w:val="000000"/>
        </w:rPr>
        <w:t>brasileiro exige métodos próprios.</w:t>
      </w:r>
    </w:p>
    <w:p w14:paraId="47252852" w14:textId="462239E9" w:rsidR="00684E07" w:rsidRDefault="00684E07">
      <w:pPr>
        <w:spacing w:after="160"/>
        <w:jc w:val="both"/>
      </w:pPr>
      <w:r>
        <w:rPr>
          <w:color w:val="000000"/>
        </w:rPr>
        <w:t xml:space="preserve">Utilizado </w:t>
      </w:r>
      <w:proofErr w:type="spellStart"/>
      <w:r>
        <w:rPr>
          <w:color w:val="000000"/>
        </w:rPr>
        <w:t>Antigravity</w:t>
      </w:r>
      <w:proofErr w:type="spellEnd"/>
      <w:r>
        <w:rPr>
          <w:color w:val="000000"/>
        </w:rPr>
        <w:t xml:space="preserve"> para a criação e dar vida ao planejamento e estrutura no PROMPT (anexado na pasta relatório)</w:t>
      </w:r>
    </w:p>
    <w:p w14:paraId="59672409" w14:textId="77777777" w:rsidR="000A7BBA" w:rsidRDefault="00684E07">
      <w:pPr>
        <w:spacing w:after="160"/>
        <w:jc w:val="both"/>
      </w:pPr>
      <w:r>
        <w:rPr>
          <w:color w:val="000000"/>
        </w:rPr>
        <w:t>C</w:t>
      </w:r>
      <w:r>
        <w:rPr>
          <w:color w:val="000000"/>
        </w:rPr>
        <w:t xml:space="preserve">omo próximos passos, o grupo considera expandir o jogo para cobrir os demais eixos estratégicos do </w:t>
      </w:r>
      <w:proofErr w:type="spellStart"/>
      <w:r>
        <w:rPr>
          <w:color w:val="000000"/>
        </w:rPr>
        <w:t>GranDIHC</w:t>
      </w:r>
      <w:proofErr w:type="spellEnd"/>
      <w:r>
        <w:rPr>
          <w:color w:val="000000"/>
        </w:rPr>
        <w:t>-BR, conduzir testes de usabilidade com estudantes de design e computação, e submeter o projeto à iniciação cient</w:t>
      </w:r>
      <w:r>
        <w:rPr>
          <w:color w:val="000000"/>
        </w:rPr>
        <w:t>ífica ou extensão universitária no CEUB.</w:t>
      </w:r>
    </w:p>
    <w:p w14:paraId="64DE56B1" w14:textId="77777777" w:rsidR="000A7BBA" w:rsidRDefault="000A7BBA"/>
    <w:p w14:paraId="40B0B3F2" w14:textId="77777777" w:rsidR="000A7BBA" w:rsidRDefault="00684E07">
      <w:pPr>
        <w:pBdr>
          <w:bottom w:val="single" w:sz="6" w:space="4" w:color="B8860B"/>
        </w:pBdr>
        <w:spacing w:before="360" w:after="160"/>
      </w:pPr>
      <w:r>
        <w:rPr>
          <w:b/>
          <w:bCs/>
          <w:color w:val="B8860B"/>
          <w:sz w:val="24"/>
          <w:szCs w:val="24"/>
        </w:rPr>
        <w:t>REFERÊNCIAS</w:t>
      </w:r>
    </w:p>
    <w:p w14:paraId="55F4171D" w14:textId="77777777" w:rsidR="000A7BBA" w:rsidRDefault="00684E07">
      <w:pPr>
        <w:pStyle w:val="PargrafodaLista"/>
        <w:numPr>
          <w:ilvl w:val="0"/>
          <w:numId w:val="7"/>
        </w:numPr>
        <w:spacing w:before="40" w:after="60"/>
        <w:jc w:val="both"/>
      </w:pPr>
      <w:r>
        <w:rPr>
          <w:color w:val="000000"/>
        </w:rPr>
        <w:t xml:space="preserve">Barbosa, S. D. J. et al. </w:t>
      </w:r>
      <w:proofErr w:type="spellStart"/>
      <w:r>
        <w:rPr>
          <w:color w:val="000000"/>
        </w:rPr>
        <w:t>GranDIHC</w:t>
      </w:r>
      <w:proofErr w:type="spellEnd"/>
      <w:r>
        <w:rPr>
          <w:color w:val="000000"/>
        </w:rPr>
        <w:t>-BR: Grandes Desafios de Pesquisa em Interação Humano-Computador no Brasil. Sociedade Brasileira de Computação (SBC), 2025. Disponível em: sol.sbc.org.br</w:t>
      </w:r>
    </w:p>
    <w:p w14:paraId="1027A953" w14:textId="77777777" w:rsidR="000A7BBA" w:rsidRDefault="00684E07">
      <w:pPr>
        <w:pStyle w:val="PargrafodaLista"/>
        <w:numPr>
          <w:ilvl w:val="0"/>
          <w:numId w:val="7"/>
        </w:numPr>
        <w:spacing w:before="40" w:after="60"/>
        <w:jc w:val="both"/>
      </w:pPr>
      <w:r>
        <w:rPr>
          <w:color w:val="000000"/>
        </w:rPr>
        <w:t xml:space="preserve">Nielsen, J. 10 </w:t>
      </w:r>
      <w:proofErr w:type="spellStart"/>
      <w:r>
        <w:rPr>
          <w:color w:val="000000"/>
        </w:rPr>
        <w:t>Usability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Heuristics</w:t>
      </w:r>
      <w:proofErr w:type="spellEnd"/>
      <w:r>
        <w:rPr>
          <w:color w:val="000000"/>
        </w:rPr>
        <w:t xml:space="preserve"> for </w:t>
      </w:r>
      <w:proofErr w:type="spellStart"/>
      <w:r>
        <w:rPr>
          <w:color w:val="000000"/>
        </w:rPr>
        <w:t>User</w:t>
      </w:r>
      <w:proofErr w:type="spellEnd"/>
      <w:r>
        <w:rPr>
          <w:color w:val="000000"/>
        </w:rPr>
        <w:t xml:space="preserve"> Interface Design. Nielsen Norman </w:t>
      </w:r>
      <w:proofErr w:type="spellStart"/>
      <w:r>
        <w:rPr>
          <w:color w:val="000000"/>
        </w:rPr>
        <w:t>Group</w:t>
      </w:r>
      <w:proofErr w:type="spellEnd"/>
      <w:r>
        <w:rPr>
          <w:color w:val="000000"/>
        </w:rPr>
        <w:t>, 1994. Disponível em: nngroup.com/</w:t>
      </w:r>
      <w:proofErr w:type="spellStart"/>
      <w:r>
        <w:rPr>
          <w:color w:val="000000"/>
        </w:rPr>
        <w:t>articles</w:t>
      </w:r>
      <w:proofErr w:type="spellEnd"/>
      <w:r>
        <w:rPr>
          <w:color w:val="000000"/>
        </w:rPr>
        <w:t>/</w:t>
      </w:r>
      <w:proofErr w:type="spellStart"/>
      <w:r>
        <w:rPr>
          <w:color w:val="000000"/>
        </w:rPr>
        <w:t>ten-usability-heuristics</w:t>
      </w:r>
      <w:proofErr w:type="spellEnd"/>
      <w:r>
        <w:rPr>
          <w:color w:val="000000"/>
        </w:rPr>
        <w:t>/</w:t>
      </w:r>
    </w:p>
    <w:p w14:paraId="5C979D4F" w14:textId="77777777" w:rsidR="000A7BBA" w:rsidRDefault="00684E07">
      <w:pPr>
        <w:pStyle w:val="PargrafodaLista"/>
        <w:numPr>
          <w:ilvl w:val="0"/>
          <w:numId w:val="7"/>
        </w:numPr>
        <w:spacing w:before="40" w:after="60"/>
        <w:jc w:val="both"/>
      </w:pPr>
      <w:proofErr w:type="spellStart"/>
      <w:r>
        <w:rPr>
          <w:color w:val="000000"/>
        </w:rPr>
        <w:t>e-MAG</w:t>
      </w:r>
      <w:proofErr w:type="spellEnd"/>
      <w:r>
        <w:rPr>
          <w:color w:val="000000"/>
        </w:rPr>
        <w:t xml:space="preserve"> — Modelo de Acessibilidade em Governo Eletrônico. Ministério da Gestão e da Inovação em Serviços Públicos, Brasi</w:t>
      </w:r>
      <w:r>
        <w:rPr>
          <w:color w:val="000000"/>
        </w:rPr>
        <w:t>l. Disponível em: emag.governoeletronico.gov.br</w:t>
      </w:r>
    </w:p>
    <w:p w14:paraId="3F7AB677" w14:textId="77777777" w:rsidR="000A7BBA" w:rsidRDefault="00684E07">
      <w:pPr>
        <w:pStyle w:val="PargrafodaLista"/>
        <w:numPr>
          <w:ilvl w:val="0"/>
          <w:numId w:val="7"/>
        </w:numPr>
        <w:spacing w:before="40" w:after="60"/>
        <w:jc w:val="both"/>
      </w:pPr>
      <w:r>
        <w:rPr>
          <w:color w:val="000000"/>
        </w:rPr>
        <w:t xml:space="preserve">W3C Web </w:t>
      </w:r>
      <w:proofErr w:type="spellStart"/>
      <w:r>
        <w:rPr>
          <w:color w:val="000000"/>
        </w:rPr>
        <w:t>Accessibility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Initiative</w:t>
      </w:r>
      <w:proofErr w:type="spellEnd"/>
      <w:r>
        <w:rPr>
          <w:color w:val="000000"/>
        </w:rPr>
        <w:t xml:space="preserve">. Web </w:t>
      </w:r>
      <w:proofErr w:type="spellStart"/>
      <w:r>
        <w:rPr>
          <w:color w:val="000000"/>
        </w:rPr>
        <w:t>Content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Accessibility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Guidelines</w:t>
      </w:r>
      <w:proofErr w:type="spellEnd"/>
      <w:r>
        <w:rPr>
          <w:color w:val="000000"/>
        </w:rPr>
        <w:t xml:space="preserve"> (WCAG) 2.1. World </w:t>
      </w:r>
      <w:proofErr w:type="spellStart"/>
      <w:r>
        <w:rPr>
          <w:color w:val="000000"/>
        </w:rPr>
        <w:t>Wide</w:t>
      </w:r>
      <w:proofErr w:type="spellEnd"/>
      <w:r>
        <w:rPr>
          <w:color w:val="000000"/>
        </w:rPr>
        <w:t xml:space="preserve"> Web Consortium, 2018. Disponível em: w3.org/WAI/WCAG21/</w:t>
      </w:r>
    </w:p>
    <w:p w14:paraId="61B6DA1B" w14:textId="77777777" w:rsidR="000A7BBA" w:rsidRDefault="00684E07">
      <w:pPr>
        <w:pStyle w:val="PargrafodaLista"/>
        <w:numPr>
          <w:ilvl w:val="0"/>
          <w:numId w:val="7"/>
        </w:numPr>
        <w:spacing w:before="40" w:after="60"/>
        <w:jc w:val="both"/>
      </w:pPr>
      <w:r>
        <w:rPr>
          <w:color w:val="000000"/>
        </w:rPr>
        <w:t xml:space="preserve">Valéria, K. IHC </w:t>
      </w:r>
      <w:proofErr w:type="spellStart"/>
      <w:r>
        <w:rPr>
          <w:color w:val="000000"/>
        </w:rPr>
        <w:t>Lab</w:t>
      </w:r>
      <w:proofErr w:type="spellEnd"/>
      <w:r>
        <w:rPr>
          <w:color w:val="000000"/>
        </w:rPr>
        <w:t xml:space="preserve">: </w:t>
      </w:r>
      <w:proofErr w:type="spellStart"/>
      <w:r>
        <w:rPr>
          <w:color w:val="000000"/>
        </w:rPr>
        <w:t>Challenges</w:t>
      </w:r>
      <w:proofErr w:type="spellEnd"/>
      <w:r>
        <w:rPr>
          <w:color w:val="000000"/>
        </w:rPr>
        <w:t xml:space="preserve"> &amp; Desafios — Laboratório P</w:t>
      </w:r>
      <w:r>
        <w:rPr>
          <w:color w:val="000000"/>
        </w:rPr>
        <w:t xml:space="preserve">rático: Inclusão, Acessibilidade e </w:t>
      </w:r>
      <w:proofErr w:type="spellStart"/>
      <w:r>
        <w:rPr>
          <w:color w:val="000000"/>
        </w:rPr>
        <w:t>Vibe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Coding</w:t>
      </w:r>
      <w:proofErr w:type="spellEnd"/>
      <w:r>
        <w:rPr>
          <w:color w:val="000000"/>
        </w:rPr>
        <w:t>. Conecta CEUB 2026. Disponível em: institucional.uniceub.br/conecta2026</w:t>
      </w:r>
    </w:p>
    <w:sectPr w:rsidR="000A7BBA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684B8B"/>
    <w:multiLevelType w:val="hybridMultilevel"/>
    <w:tmpl w:val="C4B61404"/>
    <w:lvl w:ilvl="0" w:tplc="63F65C28">
      <w:start w:val="1"/>
      <w:numFmt w:val="decimal"/>
      <w:lvlText w:val="%1."/>
      <w:lvlJc w:val="left"/>
      <w:pPr>
        <w:ind w:left="720" w:hanging="360"/>
      </w:pPr>
    </w:lvl>
    <w:lvl w:ilvl="1" w:tplc="F3967376">
      <w:numFmt w:val="decimal"/>
      <w:lvlText w:val=""/>
      <w:lvlJc w:val="left"/>
    </w:lvl>
    <w:lvl w:ilvl="2" w:tplc="08A62498">
      <w:numFmt w:val="decimal"/>
      <w:lvlText w:val=""/>
      <w:lvlJc w:val="left"/>
    </w:lvl>
    <w:lvl w:ilvl="3" w:tplc="4C7EECC2">
      <w:numFmt w:val="decimal"/>
      <w:lvlText w:val=""/>
      <w:lvlJc w:val="left"/>
    </w:lvl>
    <w:lvl w:ilvl="4" w:tplc="95EC1472">
      <w:numFmt w:val="decimal"/>
      <w:lvlText w:val=""/>
      <w:lvlJc w:val="left"/>
    </w:lvl>
    <w:lvl w:ilvl="5" w:tplc="DFB6F846">
      <w:numFmt w:val="decimal"/>
      <w:lvlText w:val=""/>
      <w:lvlJc w:val="left"/>
    </w:lvl>
    <w:lvl w:ilvl="6" w:tplc="4BDA5464">
      <w:numFmt w:val="decimal"/>
      <w:lvlText w:val=""/>
      <w:lvlJc w:val="left"/>
    </w:lvl>
    <w:lvl w:ilvl="7" w:tplc="ED849874">
      <w:numFmt w:val="decimal"/>
      <w:lvlText w:val=""/>
      <w:lvlJc w:val="left"/>
    </w:lvl>
    <w:lvl w:ilvl="8" w:tplc="49C0DE62">
      <w:numFmt w:val="decimal"/>
      <w:lvlText w:val=""/>
      <w:lvlJc w:val="left"/>
    </w:lvl>
  </w:abstractNum>
  <w:abstractNum w:abstractNumId="1" w15:restartNumberingAfterBreak="0">
    <w:nsid w:val="035D2F6E"/>
    <w:multiLevelType w:val="hybridMultilevel"/>
    <w:tmpl w:val="A0FC733C"/>
    <w:lvl w:ilvl="0" w:tplc="5664C23C">
      <w:start w:val="1"/>
      <w:numFmt w:val="decimal"/>
      <w:lvlText w:val="%1."/>
      <w:lvlJc w:val="left"/>
      <w:pPr>
        <w:ind w:left="720" w:hanging="360"/>
      </w:pPr>
    </w:lvl>
    <w:lvl w:ilvl="1" w:tplc="E8B05C1C">
      <w:numFmt w:val="decimal"/>
      <w:lvlText w:val=""/>
      <w:lvlJc w:val="left"/>
    </w:lvl>
    <w:lvl w:ilvl="2" w:tplc="FD787E6C">
      <w:numFmt w:val="decimal"/>
      <w:lvlText w:val=""/>
      <w:lvlJc w:val="left"/>
    </w:lvl>
    <w:lvl w:ilvl="3" w:tplc="60BC9EFC">
      <w:numFmt w:val="decimal"/>
      <w:lvlText w:val=""/>
      <w:lvlJc w:val="left"/>
    </w:lvl>
    <w:lvl w:ilvl="4" w:tplc="C75EEE40">
      <w:numFmt w:val="decimal"/>
      <w:lvlText w:val=""/>
      <w:lvlJc w:val="left"/>
    </w:lvl>
    <w:lvl w:ilvl="5" w:tplc="971CB030">
      <w:numFmt w:val="decimal"/>
      <w:lvlText w:val=""/>
      <w:lvlJc w:val="left"/>
    </w:lvl>
    <w:lvl w:ilvl="6" w:tplc="B8C03986">
      <w:numFmt w:val="decimal"/>
      <w:lvlText w:val=""/>
      <w:lvlJc w:val="left"/>
    </w:lvl>
    <w:lvl w:ilvl="7" w:tplc="1DC697EA">
      <w:numFmt w:val="decimal"/>
      <w:lvlText w:val=""/>
      <w:lvlJc w:val="left"/>
    </w:lvl>
    <w:lvl w:ilvl="8" w:tplc="65C81918">
      <w:numFmt w:val="decimal"/>
      <w:lvlText w:val=""/>
      <w:lvlJc w:val="left"/>
    </w:lvl>
  </w:abstractNum>
  <w:abstractNum w:abstractNumId="2" w15:restartNumberingAfterBreak="0">
    <w:nsid w:val="13891431"/>
    <w:multiLevelType w:val="hybridMultilevel"/>
    <w:tmpl w:val="9FD65510"/>
    <w:lvl w:ilvl="0" w:tplc="BE9A975C">
      <w:start w:val="1"/>
      <w:numFmt w:val="decimal"/>
      <w:lvlText w:val="%1."/>
      <w:lvlJc w:val="left"/>
      <w:pPr>
        <w:ind w:left="720" w:hanging="360"/>
      </w:pPr>
    </w:lvl>
    <w:lvl w:ilvl="1" w:tplc="37BA676E">
      <w:numFmt w:val="decimal"/>
      <w:lvlText w:val=""/>
      <w:lvlJc w:val="left"/>
    </w:lvl>
    <w:lvl w:ilvl="2" w:tplc="4FDABDE6">
      <w:numFmt w:val="decimal"/>
      <w:lvlText w:val=""/>
      <w:lvlJc w:val="left"/>
    </w:lvl>
    <w:lvl w:ilvl="3" w:tplc="985A479C">
      <w:numFmt w:val="decimal"/>
      <w:lvlText w:val=""/>
      <w:lvlJc w:val="left"/>
    </w:lvl>
    <w:lvl w:ilvl="4" w:tplc="C212CBE8">
      <w:numFmt w:val="decimal"/>
      <w:lvlText w:val=""/>
      <w:lvlJc w:val="left"/>
    </w:lvl>
    <w:lvl w:ilvl="5" w:tplc="0638E142">
      <w:numFmt w:val="decimal"/>
      <w:lvlText w:val=""/>
      <w:lvlJc w:val="left"/>
    </w:lvl>
    <w:lvl w:ilvl="6" w:tplc="2500C1DC">
      <w:numFmt w:val="decimal"/>
      <w:lvlText w:val=""/>
      <w:lvlJc w:val="left"/>
    </w:lvl>
    <w:lvl w:ilvl="7" w:tplc="8FF8A20C">
      <w:numFmt w:val="decimal"/>
      <w:lvlText w:val=""/>
      <w:lvlJc w:val="left"/>
    </w:lvl>
    <w:lvl w:ilvl="8" w:tplc="2D6CEA20">
      <w:numFmt w:val="decimal"/>
      <w:lvlText w:val=""/>
      <w:lvlJc w:val="left"/>
    </w:lvl>
  </w:abstractNum>
  <w:abstractNum w:abstractNumId="3" w15:restartNumberingAfterBreak="0">
    <w:nsid w:val="19E51163"/>
    <w:multiLevelType w:val="hybridMultilevel"/>
    <w:tmpl w:val="7102E6B2"/>
    <w:lvl w:ilvl="0" w:tplc="E864F3A0">
      <w:start w:val="1"/>
      <w:numFmt w:val="decimal"/>
      <w:lvlText w:val="%1."/>
      <w:lvlJc w:val="left"/>
      <w:pPr>
        <w:ind w:left="720" w:hanging="360"/>
      </w:pPr>
    </w:lvl>
    <w:lvl w:ilvl="1" w:tplc="C972956C">
      <w:numFmt w:val="decimal"/>
      <w:lvlText w:val=""/>
      <w:lvlJc w:val="left"/>
    </w:lvl>
    <w:lvl w:ilvl="2" w:tplc="BB22BBC0">
      <w:numFmt w:val="decimal"/>
      <w:lvlText w:val=""/>
      <w:lvlJc w:val="left"/>
    </w:lvl>
    <w:lvl w:ilvl="3" w:tplc="6728CFAC">
      <w:numFmt w:val="decimal"/>
      <w:lvlText w:val=""/>
      <w:lvlJc w:val="left"/>
    </w:lvl>
    <w:lvl w:ilvl="4" w:tplc="83A48CEC">
      <w:numFmt w:val="decimal"/>
      <w:lvlText w:val=""/>
      <w:lvlJc w:val="left"/>
    </w:lvl>
    <w:lvl w:ilvl="5" w:tplc="D06AEC04">
      <w:numFmt w:val="decimal"/>
      <w:lvlText w:val=""/>
      <w:lvlJc w:val="left"/>
    </w:lvl>
    <w:lvl w:ilvl="6" w:tplc="0F4E6D7E">
      <w:numFmt w:val="decimal"/>
      <w:lvlText w:val=""/>
      <w:lvlJc w:val="left"/>
    </w:lvl>
    <w:lvl w:ilvl="7" w:tplc="0570D5F8">
      <w:numFmt w:val="decimal"/>
      <w:lvlText w:val=""/>
      <w:lvlJc w:val="left"/>
    </w:lvl>
    <w:lvl w:ilvl="8" w:tplc="0832C2E0">
      <w:numFmt w:val="decimal"/>
      <w:lvlText w:val=""/>
      <w:lvlJc w:val="left"/>
    </w:lvl>
  </w:abstractNum>
  <w:abstractNum w:abstractNumId="4" w15:restartNumberingAfterBreak="0">
    <w:nsid w:val="28BB4250"/>
    <w:multiLevelType w:val="hybridMultilevel"/>
    <w:tmpl w:val="931C304E"/>
    <w:lvl w:ilvl="0" w:tplc="7D105BC2">
      <w:start w:val="1"/>
      <w:numFmt w:val="decimal"/>
      <w:lvlText w:val="%1."/>
      <w:lvlJc w:val="left"/>
      <w:pPr>
        <w:ind w:left="720" w:hanging="360"/>
      </w:pPr>
    </w:lvl>
    <w:lvl w:ilvl="1" w:tplc="B4A82F16">
      <w:numFmt w:val="decimal"/>
      <w:lvlText w:val=""/>
      <w:lvlJc w:val="left"/>
    </w:lvl>
    <w:lvl w:ilvl="2" w:tplc="B3185020">
      <w:numFmt w:val="decimal"/>
      <w:lvlText w:val=""/>
      <w:lvlJc w:val="left"/>
    </w:lvl>
    <w:lvl w:ilvl="3" w:tplc="31865FF4">
      <w:numFmt w:val="decimal"/>
      <w:lvlText w:val=""/>
      <w:lvlJc w:val="left"/>
    </w:lvl>
    <w:lvl w:ilvl="4" w:tplc="AE7E8F36">
      <w:numFmt w:val="decimal"/>
      <w:lvlText w:val=""/>
      <w:lvlJc w:val="left"/>
    </w:lvl>
    <w:lvl w:ilvl="5" w:tplc="6D666D38">
      <w:numFmt w:val="decimal"/>
      <w:lvlText w:val=""/>
      <w:lvlJc w:val="left"/>
    </w:lvl>
    <w:lvl w:ilvl="6" w:tplc="9B8CEA20">
      <w:numFmt w:val="decimal"/>
      <w:lvlText w:val=""/>
      <w:lvlJc w:val="left"/>
    </w:lvl>
    <w:lvl w:ilvl="7" w:tplc="8710D58E">
      <w:numFmt w:val="decimal"/>
      <w:lvlText w:val=""/>
      <w:lvlJc w:val="left"/>
    </w:lvl>
    <w:lvl w:ilvl="8" w:tplc="2A044944">
      <w:numFmt w:val="decimal"/>
      <w:lvlText w:val=""/>
      <w:lvlJc w:val="left"/>
    </w:lvl>
  </w:abstractNum>
  <w:abstractNum w:abstractNumId="5" w15:restartNumberingAfterBreak="0">
    <w:nsid w:val="550E4A76"/>
    <w:multiLevelType w:val="hybridMultilevel"/>
    <w:tmpl w:val="84982E3A"/>
    <w:lvl w:ilvl="0" w:tplc="BB2069E6">
      <w:start w:val="1"/>
      <w:numFmt w:val="bullet"/>
      <w:lvlText w:val="•"/>
      <w:lvlJc w:val="left"/>
      <w:pPr>
        <w:ind w:left="720" w:hanging="360"/>
      </w:pPr>
    </w:lvl>
    <w:lvl w:ilvl="1" w:tplc="FC88A87C">
      <w:numFmt w:val="decimal"/>
      <w:lvlText w:val=""/>
      <w:lvlJc w:val="left"/>
    </w:lvl>
    <w:lvl w:ilvl="2" w:tplc="2C423802">
      <w:numFmt w:val="decimal"/>
      <w:lvlText w:val=""/>
      <w:lvlJc w:val="left"/>
    </w:lvl>
    <w:lvl w:ilvl="3" w:tplc="0C7670D0">
      <w:numFmt w:val="decimal"/>
      <w:lvlText w:val=""/>
      <w:lvlJc w:val="left"/>
    </w:lvl>
    <w:lvl w:ilvl="4" w:tplc="3AF650B2">
      <w:numFmt w:val="decimal"/>
      <w:lvlText w:val=""/>
      <w:lvlJc w:val="left"/>
    </w:lvl>
    <w:lvl w:ilvl="5" w:tplc="41B88E92">
      <w:numFmt w:val="decimal"/>
      <w:lvlText w:val=""/>
      <w:lvlJc w:val="left"/>
    </w:lvl>
    <w:lvl w:ilvl="6" w:tplc="234EA940">
      <w:numFmt w:val="decimal"/>
      <w:lvlText w:val=""/>
      <w:lvlJc w:val="left"/>
    </w:lvl>
    <w:lvl w:ilvl="7" w:tplc="8BF24712">
      <w:numFmt w:val="decimal"/>
      <w:lvlText w:val=""/>
      <w:lvlJc w:val="left"/>
    </w:lvl>
    <w:lvl w:ilvl="8" w:tplc="D1C2A04A">
      <w:numFmt w:val="decimal"/>
      <w:lvlText w:val=""/>
      <w:lvlJc w:val="left"/>
    </w:lvl>
  </w:abstractNum>
  <w:abstractNum w:abstractNumId="6" w15:restartNumberingAfterBreak="0">
    <w:nsid w:val="7A665AF6"/>
    <w:multiLevelType w:val="hybridMultilevel"/>
    <w:tmpl w:val="C206DAA2"/>
    <w:lvl w:ilvl="0" w:tplc="26FC0560">
      <w:start w:val="1"/>
      <w:numFmt w:val="bullet"/>
      <w:lvlText w:val="●"/>
      <w:lvlJc w:val="left"/>
      <w:pPr>
        <w:ind w:left="720" w:hanging="360"/>
      </w:pPr>
    </w:lvl>
    <w:lvl w:ilvl="1" w:tplc="A600F14E">
      <w:start w:val="1"/>
      <w:numFmt w:val="bullet"/>
      <w:lvlText w:val="○"/>
      <w:lvlJc w:val="left"/>
      <w:pPr>
        <w:ind w:left="1440" w:hanging="360"/>
      </w:pPr>
    </w:lvl>
    <w:lvl w:ilvl="2" w:tplc="D032C31C">
      <w:start w:val="1"/>
      <w:numFmt w:val="bullet"/>
      <w:lvlText w:val="■"/>
      <w:lvlJc w:val="left"/>
      <w:pPr>
        <w:ind w:left="2160" w:hanging="360"/>
      </w:pPr>
    </w:lvl>
    <w:lvl w:ilvl="3" w:tplc="A07E7E22">
      <w:start w:val="1"/>
      <w:numFmt w:val="bullet"/>
      <w:lvlText w:val="●"/>
      <w:lvlJc w:val="left"/>
      <w:pPr>
        <w:ind w:left="2880" w:hanging="360"/>
      </w:pPr>
    </w:lvl>
    <w:lvl w:ilvl="4" w:tplc="6A7EFDB6">
      <w:start w:val="1"/>
      <w:numFmt w:val="bullet"/>
      <w:lvlText w:val="○"/>
      <w:lvlJc w:val="left"/>
      <w:pPr>
        <w:ind w:left="3600" w:hanging="360"/>
      </w:pPr>
    </w:lvl>
    <w:lvl w:ilvl="5" w:tplc="BA061E5C">
      <w:start w:val="1"/>
      <w:numFmt w:val="bullet"/>
      <w:lvlText w:val="■"/>
      <w:lvlJc w:val="left"/>
      <w:pPr>
        <w:ind w:left="4320" w:hanging="360"/>
      </w:pPr>
    </w:lvl>
    <w:lvl w:ilvl="6" w:tplc="FB9291F0">
      <w:start w:val="1"/>
      <w:numFmt w:val="bullet"/>
      <w:lvlText w:val="●"/>
      <w:lvlJc w:val="left"/>
      <w:pPr>
        <w:ind w:left="5040" w:hanging="360"/>
      </w:pPr>
    </w:lvl>
    <w:lvl w:ilvl="7" w:tplc="15AA7126">
      <w:start w:val="1"/>
      <w:numFmt w:val="bullet"/>
      <w:lvlText w:val="●"/>
      <w:lvlJc w:val="left"/>
      <w:pPr>
        <w:ind w:left="5760" w:hanging="360"/>
      </w:pPr>
    </w:lvl>
    <w:lvl w:ilvl="8" w:tplc="20CA6548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6"/>
    <w:lvlOverride w:ilvl="0">
      <w:startOverride w:val="1"/>
    </w:lvlOverride>
  </w:num>
  <w:num w:numId="2">
    <w:abstractNumId w:val="5"/>
    <w:lvlOverride w:ilvl="0">
      <w:startOverride w:val="1"/>
    </w:lvlOverride>
  </w:num>
  <w:num w:numId="3">
    <w:abstractNumId w:val="0"/>
    <w:lvlOverride w:ilvl="0">
      <w:startOverride w:val="1"/>
    </w:lvlOverride>
  </w:num>
  <w:num w:numId="4">
    <w:abstractNumId w:val="1"/>
    <w:lvlOverride w:ilvl="0">
      <w:startOverride w:val="1"/>
    </w:lvlOverride>
  </w:num>
  <w:num w:numId="5">
    <w:abstractNumId w:val="2"/>
    <w:lvlOverride w:ilvl="0">
      <w:startOverride w:val="1"/>
    </w:lvlOverride>
  </w:num>
  <w:num w:numId="6">
    <w:abstractNumId w:val="4"/>
    <w:lvlOverride w:ilvl="0">
      <w:startOverride w:val="1"/>
    </w:lvlOverride>
  </w:num>
  <w:num w:numId="7">
    <w:abstractNumId w:val="3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73"/>
  <w:displayBackgroundShape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A7BBA"/>
    <w:rsid w:val="000A7BBA"/>
    <w:rsid w:val="00684E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A65A99"/>
  <w15:docId w15:val="{EE94336D-8848-4310-A3D4-3289C4422E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6167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enially.com/pt-br/modelo/a-bola-do-destino/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1558</Words>
  <Characters>8419</Characters>
  <Application>Microsoft Office Word</Application>
  <DocSecurity>0</DocSecurity>
  <Lines>70</Lines>
  <Paragraphs>19</Paragraphs>
  <ScaleCrop>false</ScaleCrop>
  <Company/>
  <LinksUpToDate>false</LinksUpToDate>
  <CharactersWithSpaces>9958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Caio Barbosa de Lima</cp:lastModifiedBy>
  <cp:revision>2</cp:revision>
  <dcterms:created xsi:type="dcterms:W3CDTF">2026-05-20T19:21:00Z</dcterms:created>
  <dcterms:modified xsi:type="dcterms:W3CDTF">2026-06-10T18:38:00Z</dcterms:modified>
</cp:coreProperties>
</file>