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47750" cy="809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32"/>
                <w:szCs w:val="32"/>
              </w:rPr>
              <w:t xml:space="preserve">IHC Lab: Challenges &amp; Desafios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666666"/>
                <w:sz w:val="22"/>
                <w:szCs w:val="22"/>
              </w:rPr>
              <w:t xml:space="preserve">Laboratório Prático — Inclusão, Acessibilidade e Vibe Coding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Conecta CEUB 2026  |  Professora Kadidja Valéria</w:t>
            </w:r>
          </w:p>
          <w:p>
            <w:pPr>
              <w:pBdr>
                <w:bottom w:val="single" w:color="B8860B" w:sz="8" w:space="6"/>
              </w:pBd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22"/>
                <w:szCs w:val="22"/>
              </w:rPr>
              <w:t xml:space="preserve">Eixo Q2: Mercado e Formação UX</w:t>
            </w:r>
          </w:p>
        </w:tc>
      </w:tr>
    </w:tbl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6"/>
        <w:gridCol w:w="2256"/>
      </w:tblGrid>
      <w:tr>
        <w:tc>
          <w:tcPr>
            <w:tcW w:type="dxa" w:w="2257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Integrantes: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Caio Barbosa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Davi Vaz</w:t>
            </w:r>
          </w:p>
        </w:tc>
        <w:tc>
          <w:tcPr>
            <w:tcW w:type="dxa" w:w="2257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Eixo: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Q2 — Mercado e Formação UX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Formato: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Wireframe / Vibe Coding</w:t>
            </w:r>
          </w:p>
        </w:tc>
        <w:tc>
          <w:tcPr>
            <w:tcW w:type="dxa" w:w="225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Data: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 de maio de 2026</w:t>
            </w:r>
          </w:p>
        </w:tc>
      </w:tr>
    </w:tbl>
    <w:p>
      <w:r>
        <w:t xml:space="preserve"/>
      </w:r>
    </w:p>
    <w:p>
      <w:pPr>
        <w:pBdr>
          <w:bottom w:val="single" w:color="B8860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B8860B"/>
          <w:sz w:val="24"/>
          <w:szCs w:val="24"/>
        </w:rPr>
        <w:t xml:space="preserve">INTRODUÇÃO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Este relatório documenta a participação no IHC Lab — Challenges &amp; Desafios, evento integrante do Conecta CEUB 2026, conduzido pela Professora Kadidja Valéria. O laboratório propôs a aplicação prática dos conceitos do GranDIHC-BR — os sete grandes desafios da Interação Humano-Computador no Brasil para o decênio 2025-2035 — com ênfase em inclusão digital, acessibilidade e formação profissional em UX.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 grupo optou pelo Eixo Q2: Mercado e Formação UX, cujo desafio central consiste em aproximar as práticas reais de UX do contexto sociocultural brasileiro, superando modelos importados que ignoram a diversidade de classe, raça e literacia digital da população. Como metodologia de prototipagem, foi adotado o paradigma do Vibe Coding — criação de protótipos funcionais a partir de linguagem natural mediada por inteligência artificial generativa, sem escrita manual de código.</w:t>
      </w:r>
    </w:p>
    <w:p>
      <w:r>
        <w:t xml:space="preserve"/>
      </w:r>
    </w:p>
    <w:p>
      <w:pPr>
        <w:pBdr>
          <w:bottom w:val="single" w:color="B8860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B8860B"/>
          <w:sz w:val="24"/>
          <w:szCs w:val="24"/>
        </w:rPr>
        <w:t xml:space="preserve">SÍNTESE DA PESQUISA — BIBLIOTECA SOL / SBC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Durante o Sprint 1 (20 minutos), o grupo realizou pesquisa orientada no acervo SOL da Sociedade Brasileira de Computação (SBC), identificando produções relacionadas ao Eixo Q2. Os principais achados foram:</w:t>
      </w:r>
    </w:p>
    <w:p>
      <w:pPr>
        <w:pStyle w:val="ListParagraph"/>
        <w:numPr>
          <w:ilvl w:val="0"/>
          <w:numId w:val="2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Estudos sobre a lacuna entre formação acadêmica em IHC e as demandas reais do mercado de UX brasileiro, apontando ausência de currículos que abordem personas com baixa literacia digital.</w:t>
      </w:r>
    </w:p>
    <w:p>
      <w:pPr>
        <w:pStyle w:val="ListParagraph"/>
        <w:numPr>
          <w:ilvl w:val="0"/>
          <w:numId w:val="2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Pesquisas sobre testes de usabilidade em aplicativos de saúde pública (SUS), evidenciando taxas elevadas de abandono causadas por linguagem técnica e fluxos incompatíveis com usuários idosos e de baixa renda.</w:t>
      </w:r>
    </w:p>
    <w:p>
      <w:pPr>
        <w:pStyle w:val="ListParagraph"/>
        <w:numPr>
          <w:ilvl w:val="0"/>
          <w:numId w:val="2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Projetos de jogos sérios (serious games) aplicados ao ensino de heurísticas de Nielsen e metodologias de pesquisa com usuários, validados em contexto universitário brasileiro.</w:t>
      </w:r>
    </w:p>
    <w:p>
      <w:pPr>
        <w:pStyle w:val="ListParagraph"/>
        <w:numPr>
          <w:ilvl w:val="0"/>
          <w:numId w:val="2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Referências ao GranDIHC-BR reforçando que a formação em UX precisa incorporar diversidade sociocultural como critério central, não como apêndice de acessibilidade.</w:t>
      </w:r>
    </w:p>
    <w:p>
      <w:r>
        <w:t xml:space="preserve"/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pesquisa evidenciou que o mercado brasileiro carece de profissionais capacitados para conduzir pesquisas com usuários reais em contextos de vulnerabilidade digital — lacuna diretamente endereçada pela proposta do grupo.</w:t>
      </w:r>
    </w:p>
    <w:p>
      <w:r>
        <w:t xml:space="preserve"/>
      </w:r>
    </w:p>
    <w:p>
      <w:pPr>
        <w:pBdr>
          <w:bottom w:val="single" w:color="B8860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B8860B"/>
          <w:sz w:val="24"/>
          <w:szCs w:val="24"/>
        </w:rPr>
        <w:t xml:space="preserve">DESCRIÇÃO DO PROTÓTIPO — THE UX GAME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 grupo desenvolveu um wireframe interativo de alta fidelidade de um jogo educacional denominado The UX Game, utilizando Vibe Coding via inteligência artificial generativa. O protótipo foi concebido inteiramente a partir de descrições em linguagem natural, sem escrita de código, conforme o paradigma proposto pelo desafio.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Conceito e objetivo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 jogo posiciona o jogador como UX Designer júnior inserido em projetos reais do contexto brasileiro. Em cada cenário, o jogador recebe um briefing de cliente, identifica a persona envolvida e precisa tomar decisões sobre alocação de orçamento, escolha de métodos de pesquisa e priorização de melhorias. Cada decisão gera consequências mensuráveis — redução de taxa de abandono, ganho de pontos de experiência, economia de recursos — promovendo aprendizagem ativa.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Estrutura geral do fluxo (5 telas)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Tela Inicial: apresentação do contexto, persona base e recursos disponíveis.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Tela de Cenário: briefing do cliente com persona detalhada.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Tela de Decisão: três opções de ação com custos e implicações distintos, com feedback imediato.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Tela de Resultado: consequências da decisão e aprendizado IHC explicitado.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Dashboard: progresso, competências desenvolvidas e próxima missão.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Cenário 1 — Pesquisa com Usuário Real (App SUS)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Cliente: App de agendamento do SUS. Persona: Maria, 58 anos, baixa literacia digital, celular pré-pago. Orçamento: R$ 1.500. Problema: taxa de abandono de 67% na tela de cadastro. O cliente solicita uma interface mais bonita.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Opções disponíveis ao jogador:</w:t>
      </w:r>
    </w:p>
    <w:p>
      <w:pPr>
        <w:pStyle w:val="ListParagraph"/>
        <w:numPr>
          <w:ilvl w:val="0"/>
          <w:numId w:val="4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Contratar UI designer para redesign visual completo — R$ 1.400. (Incorreta: não resolve a causa raiz comportamental.)</w:t>
      </w:r>
    </w:p>
    <w:p>
      <w:pPr>
        <w:pStyle w:val="ListParagraph"/>
        <w:numPr>
          <w:ilvl w:val="0"/>
          <w:numId w:val="4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Realizar pesquisa com 5 usuários reais via teste de usabilidade contextual — R$ 600. (Correta: revela que o campo CPF bloqueava Maria por dúvida sobre pontuação.)</w:t>
      </w:r>
    </w:p>
    <w:p>
      <w:pPr>
        <w:pStyle w:val="ListParagraph"/>
        <w:numPr>
          <w:ilvl w:val="0"/>
          <w:numId w:val="4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Conduzir análise heurística interna pelo próprio time — R$ 0. (Incorreta: sem contato com o usuário real, o problema permanece invisível.)</w:t>
      </w:r>
    </w:p>
    <w:p>
      <w:r>
        <w:t xml:space="preserve"/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Resultado da decisão correta: redução de 42% na taxa de abandono, economia de R$ 900, ganho de 80 XP. Aprendizado: pesquisa com usuários reais supera redesign estético. No contexto brasileiro, literacia digital baixa exige testes com personas reais, não heurísticas de mercado europeu.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Cenário 2 — Acessibilidade Visual (eMAG / WCAG)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Cliente: Portal de matrículas escolares do MEC. Persona: João, 34 anos, deficiência visual desde os 22, usa NVDA + Chrome, professor de escola pública. Orçamento: R$ 2.000. Problema: 40% dos usuários com deficiência visual relatam que o leitor de tela não consegue navegar pelo formulário de inscrição.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Opções disponíveis ao jogador:</w:t>
      </w:r>
    </w:p>
    <w:p>
      <w:pPr>
        <w:pStyle w:val="ListParagraph"/>
        <w:numPr>
          <w:ilvl w:val="0"/>
          <w:numId w:val="5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Adicionar botão modo acessível que altera as cores da página. (Incorreta: não resolve a estrutura do código; WCAG 1.3.1 e 4.1.2 exigem marcação semântica.)</w:t>
      </w:r>
    </w:p>
    <w:p>
      <w:pPr>
        <w:pStyle w:val="ListParagraph"/>
        <w:numPr>
          <w:ilvl w:val="0"/>
          <w:numId w:val="5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Realizar auditoria com NVDA, corrigir ordem de leitura e adicionar labels semânticos nos campos do formulário. (Correta: ataca a causa raiz com custo dentro do orçamento.)</w:t>
      </w:r>
    </w:p>
    <w:p>
      <w:pPr>
        <w:pStyle w:val="ListParagraph"/>
        <w:numPr>
          <w:ilvl w:val="0"/>
          <w:numId w:val="5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Contratar empresa especializada em acessibilidade para redesign completo. (Incorreta: orçamento insuficiente e prazo incompatível.)</w:t>
      </w:r>
    </w:p>
    <w:p>
      <w:r>
        <w:t xml:space="preserve"/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Resultado da decisão correta: 100% dos campos passíveis de leitura pelo NVDA após a correção, redução de 55% nas reclamações de acessibilidade, ganho de 90 XP. Aprendizado: acessibilidade digital não é cosmética, é estrutura de código. Alinhamento direto com eMAG e WCAG 1.3.1 / 4.1.2.</w:t>
      </w:r>
    </w:p>
    <w:p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Cenário 3 — Decolonialidade e Co-design (Comunidades Quilombolas)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Cliente: App de telemedicina para comunidades quilombolas no Maranhão. Persona: Dona Conceição, 61 anos, liderança comunitária quilombola, nunca usou smartphone antes do projeto. Orçamento: R$ 3.000. Problema: adesão de apenas 12% — interface usa ícones e metáforas urbanas incompatíveis com o contexto cultural local.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Opções disponíveis ao jogador:</w:t>
      </w:r>
    </w:p>
    <w:p>
      <w:pPr>
        <w:pStyle w:val="ListParagraph"/>
        <w:numPr>
          <w:ilvl w:val="0"/>
          <w:numId w:val="6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Traduzir o app para português simplificado. (Incorreta: o problema não é o texto, é a metáfora cultural subjacente.)</w:t>
      </w:r>
    </w:p>
    <w:p>
      <w:pPr>
        <w:pStyle w:val="ListParagraph"/>
        <w:numPr>
          <w:ilvl w:val="0"/>
          <w:numId w:val="6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Contratar designer de São Paulo para modernizar a interface. (Incorreta: reproduz os mesmos padrões eurocêntricos que geraram o problema.)</w:t>
      </w:r>
    </w:p>
    <w:p>
      <w:pPr>
        <w:pStyle w:val="ListParagraph"/>
        <w:numPr>
          <w:ilvl w:val="0"/>
          <w:numId w:val="6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Realizar co-design presencial: workshop com Dona Conceição e 4 lideranças para redesenhar ícones e fluxos com referências culturais locais. (Correta: design participativo e decolonial.)</w:t>
      </w:r>
    </w:p>
    <w:p>
      <w:r>
        <w:t xml:space="preserve"/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Resultado da decisão correta: adesão sobe de 12% para 61% após o redesign participativo, confiança da comunidade no serviço aumenta, ganho de 100 XP. Aprendizado: design decolonial não é simplificar, é ouvir. Co-design com a comunidade é o único método que resolve isso de forma sustentável.</w:t>
      </w:r>
    </w:p>
    <w:p>
      <w:r>
        <w:t xml:space="preserve"/>
      </w:r>
    </w:p>
    <w:p>
      <w:pPr>
        <w:pBdr>
          <w:bottom w:val="single" w:color="B8860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B8860B"/>
          <w:sz w:val="24"/>
          <w:szCs w:val="24"/>
        </w:rPr>
        <w:t xml:space="preserve">RESULTADOS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experiência do laboratório produziu os seguintes resultados concretos: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Protótipo navegável de 5 telas do The UX Game com 3 cenários completos, desenvolvido integralmente via Vibe Coding em menos de 30 minutos.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Mapeamento de barreiras reais de formação em UX no Brasil, fundamentado em artigos da Biblioteca SOL/SBC, com identificação de lacunas curriculares e metodológicas.</w:t>
      </w:r>
    </w:p>
    <w:p>
      <w:pPr>
        <w:pStyle w:val="ListParagraph"/>
        <w:numPr>
          <w:ilvl w:val="0"/>
          <w:numId w:val="3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Aplicação prática das heurísticas de Nielsen, diretrizes eMAG/WCAG e princípios de design decolonial em formato gamificado, tornando o conteúdo acessível para estudantes sem experiência prévia em UX.</w:t>
      </w:r>
    </w:p>
    <w:p>
      <w:r>
        <w:t xml:space="preserve"/>
      </w:r>
    </w:p>
    <w:p>
      <w:pPr>
        <w:pBdr>
          <w:bottom w:val="single" w:color="B8860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B8860B"/>
          <w:sz w:val="24"/>
          <w:szCs w:val="24"/>
        </w:rPr>
        <w:t xml:space="preserve">CONCLUSÃO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 desafio IHC Lab evidenciou que o Vibe Coding representa uma mudança de paradigma relevante para a área de IHC: ao deslocar o foco do como codificar para o que criar, democratiza a prototipagem e permite que estudantes e pesquisadores de UX testem hipóteses de design com usuários reais em tempo recorde.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Os três cenários do The UX Game — pesquisa com usuário real, acessibilidade para deficientes visuais e co-design com comunidades quilombolas — cobrem de forma complementar os principais desafios do GranDIHC-BR: formação profissional, inclusão digital e decolonialidade. Cada cenário demonstra que a solução tecnicamente correta nem sempre é a mais óbvia, e que o contexto sociocultural brasileiro exige métodos próprios.</w:t>
      </w:r>
    </w:p>
    <w:p>
      <w:pPr>
        <w:spacing w:after="160" w:before="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Como próximos passos, o grupo considera expandir o jogo para cobrir os demais eixos estratégicos do GranDIHC-BR, conduzir testes de usabilidade com estudantes de design e computação, e submeter o projeto à iniciação científica ou extensão universitária no CEUB.</w:t>
      </w:r>
    </w:p>
    <w:p>
      <w:r>
        <w:t xml:space="preserve"/>
      </w:r>
    </w:p>
    <w:p>
      <w:pPr>
        <w:pBdr>
          <w:bottom w:val="single" w:color="B8860B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B8860B"/>
          <w:sz w:val="24"/>
          <w:szCs w:val="24"/>
        </w:rPr>
        <w:t xml:space="preserve">REFERÊNCIAS</w:t>
      </w:r>
    </w:p>
    <w:p>
      <w:pPr>
        <w:pStyle w:val="ListParagraph"/>
        <w:numPr>
          <w:ilvl w:val="0"/>
          <w:numId w:val="7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Barbosa, S. D. J. et al. GranDIHC-BR: Grandes Desafios de Pesquisa em Interação Humano-Computador no Brasil. Sociedade Brasileira de Computação (SBC), 2025. Disponível em: sol.sbc.org.br</w:t>
      </w:r>
    </w:p>
    <w:p>
      <w:pPr>
        <w:pStyle w:val="ListParagraph"/>
        <w:numPr>
          <w:ilvl w:val="0"/>
          <w:numId w:val="7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Nielsen, J. 10 Usability Heuristics for User Interface Design. Nielsen Norman Group, 1994. Disponível em: nngroup.com/articles/ten-usability-heuristics/</w:t>
      </w:r>
    </w:p>
    <w:p>
      <w:pPr>
        <w:pStyle w:val="ListParagraph"/>
        <w:numPr>
          <w:ilvl w:val="0"/>
          <w:numId w:val="7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e-MAG — Modelo de Acessibilidade em Governo Eletrônico. Ministério da Gestão e da Inovação em Serviços Públicos, Brasil. Disponível em: emag.governoeletronico.gov.br</w:t>
      </w:r>
    </w:p>
    <w:p>
      <w:pPr>
        <w:pStyle w:val="ListParagraph"/>
        <w:numPr>
          <w:ilvl w:val="0"/>
          <w:numId w:val="7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W3C Web Accessibility Initiative. Web Content Accessibility Guidelines (WCAG) 2.1. World Wide Web Consortium, 2018. Disponível em: w3.org/WAI/WCAG21/</w:t>
      </w:r>
    </w:p>
    <w:p>
      <w:pPr>
        <w:pStyle w:val="ListParagraph"/>
        <w:numPr>
          <w:ilvl w:val="0"/>
          <w:numId w:val="7"/>
        </w:numPr>
        <w:spacing w:after="60" w:before="4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Valéria, K. IHC Lab: Challenges &amp; Desafios — Laboratório Prático: Inclusão, Acessibilidade e Vibe Coding. Conecta CEUB 2026. Disponível em: institucional.uniceub.br/conecta2026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06fd4bab44037cd09e9f76c90581b22d509202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2026-05-20T19:21:41.408Z</dcterms:created>
  <dcterms:modified xsi:type="dcterms:W3CDTF">2026-05-20T19:21:41.408Z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