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62k6n19fiq" w:id="0"/>
      <w:bookmarkEnd w:id="0"/>
      <w:r w:rsidDel="00000000" w:rsidR="00000000" w:rsidRPr="00000000">
        <w:rPr>
          <w:rtl w:val="0"/>
        </w:rPr>
        <w:t xml:space="preserve">VISÃO GERAL DO PROJETO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1iky8tt5swe" w:id="1"/>
      <w:bookmarkEnd w:id="1"/>
      <w:r w:rsidDel="00000000" w:rsidR="00000000" w:rsidRPr="00000000">
        <w:rPr>
          <w:rtl w:val="0"/>
        </w:rPr>
        <w:t xml:space="preserve">Plano de Ação Estratégico (Modelo 5W2H)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Projeto/Sistema:</w:t>
      </w:r>
      <w:r w:rsidDel="00000000" w:rsidR="00000000" w:rsidRPr="00000000">
        <w:rPr>
          <w:rtl w:val="0"/>
        </w:rPr>
        <w:t xml:space="preserve"> Descarte Farma </w:t>
      </w:r>
      <w:r w:rsidDel="00000000" w:rsidR="00000000" w:rsidRPr="00000000">
        <w:rPr>
          <w:b w:val="1"/>
          <w:bCs w:val="1"/>
          <w:rtl w:val="0"/>
        </w:rPr>
        <w:t xml:space="preserve">Equipe de Concepção: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[Caio Barbosa e Lucas Almeida] (GP/Product Owner)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[Caio Barbosa de Lima e Lucas Almeida] (Desenvolvedores Full-Stack)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bblya89n0r1" w:id="2"/>
      <w:bookmarkEnd w:id="2"/>
      <w:r w:rsidDel="00000000" w:rsidR="00000000" w:rsidRPr="00000000">
        <w:rPr>
          <w:rtl w:val="0"/>
        </w:rPr>
        <w:t xml:space="preserve">PLANO DE AÇÃO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hdcr6velwxjb" w:id="3"/>
      <w:bookmarkEnd w:id="3"/>
      <w:r w:rsidDel="00000000" w:rsidR="00000000" w:rsidRPr="00000000">
        <w:rPr>
          <w:rtl w:val="0"/>
        </w:rPr>
        <w:t xml:space="preserve">1. WHAT (O que será feito?)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projeto consiste no desenvolvimento de uma </w:t>
      </w:r>
      <w:r w:rsidDel="00000000" w:rsidR="00000000" w:rsidRPr="00000000">
        <w:rPr>
          <w:b w:val="1"/>
          <w:bCs w:val="1"/>
          <w:rtl w:val="0"/>
        </w:rPr>
        <w:t xml:space="preserve">plataforma web responsiva</w:t>
      </w:r>
      <w:r w:rsidDel="00000000" w:rsidR="00000000" w:rsidRPr="00000000">
        <w:rPr>
          <w:rtl w:val="0"/>
        </w:rPr>
        <w:t xml:space="preserve"> denominada </w:t>
      </w:r>
      <w:r w:rsidDel="00000000" w:rsidR="00000000" w:rsidRPr="00000000">
        <w:rPr>
          <w:b w:val="1"/>
          <w:bCs w:val="1"/>
          <w:rtl w:val="0"/>
        </w:rPr>
        <w:t xml:space="preserve">Descarte Farma</w:t>
      </w:r>
      <w:r w:rsidDel="00000000" w:rsidR="00000000" w:rsidRPr="00000000">
        <w:rPr>
          <w:rtl w:val="0"/>
        </w:rPr>
        <w:t xml:space="preserve">, focada na geolocalização de pontos de coleta de medicamentos vencidos ou em desuso. O núcleo tecnológico da solução será baseado em uma interface de mapa interativa que utiliza a API do Google Maps ou Mapbox para plotar farmácias, postos de saúde e centros logísticos parceiros. Além do mapeamento, o software contará com um módulo de educação ambiental contendo um guia rápido e interativo sobre a classificação de resíduos químicos e biológicos, orientando o usuário sobre o que pode ou não ser descartado em cada tipo de coletor.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5q7voqwezqbm" w:id="4"/>
      <w:bookmarkEnd w:id="4"/>
      <w:r w:rsidDel="00000000" w:rsidR="00000000" w:rsidRPr="00000000">
        <w:rPr>
          <w:rtl w:val="0"/>
        </w:rPr>
        <w:t xml:space="preserve">2. WHY (Por que será feito?)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dor central que justifica este esforço é o grave risco ambiental e de saúde pública causado pelo descarte incorreto de fármacos. Atualmente, a população carece de informações centralizadas, resultando no descarte em lixo comum ou rede de esgoto, o que contamina o solo e os lençóis freáticos com substâncias químicas persistentes. O </w:t>
      </w:r>
      <w:r w:rsidDel="00000000" w:rsidR="00000000" w:rsidRPr="00000000">
        <w:rPr>
          <w:b w:val="1"/>
          <w:bCs w:val="1"/>
          <w:rtl w:val="0"/>
        </w:rPr>
        <w:t xml:space="preserve">Descarte Farma</w:t>
      </w:r>
      <w:r w:rsidDel="00000000" w:rsidR="00000000" w:rsidRPr="00000000">
        <w:rPr>
          <w:rtl w:val="0"/>
        </w:rPr>
        <w:t xml:space="preserve"> é superior ao estado atual pois elimina a barreira da desinformação através da conveniência tecnológica. A urgência reside na necessidade de cumprir as diretrizes da Logística Reversa (Decreto Federal nº 10.388/2020), facilitando a conexão entre o cidadão e os pontos de coleta já existentes, mas muitas vezes desconhecidos.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os3s6a13zqpk" w:id="5"/>
      <w:bookmarkEnd w:id="5"/>
      <w:r w:rsidDel="00000000" w:rsidR="00000000" w:rsidRPr="00000000">
        <w:rPr>
          <w:rtl w:val="0"/>
        </w:rPr>
        <w:t xml:space="preserve">3. WHERE (Onde será feito / Onde vai rodar?)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solução existirá em um ecossistema de nuvem híbrida. O ambiente de desenvolvimento (</w:t>
      </w: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) e testes (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) será estruturado em containers Docker para garantir paridade entre as máquinas dos desenvolvedores. Para a produção (</w:t>
      </w:r>
      <w:r w:rsidDel="00000000" w:rsidR="00000000" w:rsidRPr="00000000">
        <w:rPr>
          <w:b w:val="1"/>
          <w:bCs w:val="1"/>
          <w:rtl w:val="0"/>
        </w:rPr>
        <w:t xml:space="preserve">PROD</w:t>
      </w:r>
      <w:r w:rsidDel="00000000" w:rsidR="00000000" w:rsidRPr="00000000">
        <w:rPr>
          <w:rtl w:val="0"/>
        </w:rPr>
        <w:t xml:space="preserve">), utilizaremos serviços de computação em nuvem (como AWS ou Google Cloud Platform), aproveitando instâncias de </w:t>
      </w:r>
      <w:r w:rsidDel="00000000" w:rsidR="00000000" w:rsidRPr="00000000">
        <w:rPr>
          <w:i w:val="1"/>
          <w:iCs w:val="1"/>
          <w:rtl w:val="0"/>
        </w:rPr>
        <w:t xml:space="preserve">Serverless Computing</w:t>
      </w:r>
      <w:r w:rsidDel="00000000" w:rsidR="00000000" w:rsidRPr="00000000">
        <w:rPr>
          <w:rtl w:val="0"/>
        </w:rPr>
        <w:t xml:space="preserve"> para o backend, garantindo escalabilidade conforme a demanda de acessos. O banco de dados será georreferenciado (PostgreSQL com extensão PostGIS) para otimizar as consultas de proximidade por GPS.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neso3vfu31gw" w:id="6"/>
      <w:bookmarkEnd w:id="6"/>
      <w:r w:rsidDel="00000000" w:rsidR="00000000" w:rsidRPr="00000000">
        <w:rPr>
          <w:rtl w:val="0"/>
        </w:rPr>
        <w:t xml:space="preserve">4. WHEN (Quando será feito?)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projeto seguirá um </w:t>
      </w:r>
      <w:r w:rsidDel="00000000" w:rsidR="00000000" w:rsidRPr="00000000">
        <w:rPr>
          <w:i w:val="1"/>
          <w:iCs w:val="1"/>
          <w:rtl w:val="0"/>
        </w:rPr>
        <w:t xml:space="preserve">Timebox</w:t>
      </w:r>
      <w:r w:rsidDel="00000000" w:rsidR="00000000" w:rsidRPr="00000000">
        <w:rPr>
          <w:rtl w:val="0"/>
        </w:rPr>
        <w:t xml:space="preserve"> rigoroso de 4 meses para o lançamento da primeira versão viável (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). O cronograma macro prevê o início imediato com a fase de levantamento de requisitos e prototipagem de alta fidelidade no primeiro mês, seguido por dois meses de desenvolvimento intensivo (Sprints quinzenais) e um mês final dedicado a testes de carga, segurança de dados e homologação em ambientes de teste e produção.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1qgdmmgi7oam" w:id="7"/>
      <w:bookmarkEnd w:id="7"/>
      <w:r w:rsidDel="00000000" w:rsidR="00000000" w:rsidRPr="00000000">
        <w:rPr>
          <w:rtl w:val="0"/>
        </w:rPr>
        <w:t xml:space="preserve">5. WHO (Quem estará envolvido?)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projeto contará com uma estrutura de governança clara: um </w:t>
      </w: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 (responsável pela visão do negócio e parcerias com redes farmacêuticas), um </w:t>
      </w:r>
      <w:r w:rsidDel="00000000" w:rsidR="00000000" w:rsidRPr="00000000">
        <w:rPr>
          <w:b w:val="1"/>
          <w:bCs w:val="1"/>
          <w:rtl w:val="0"/>
        </w:rPr>
        <w:t xml:space="preserve">Scrum Master/GP</w:t>
      </w:r>
      <w:r w:rsidDel="00000000" w:rsidR="00000000" w:rsidRPr="00000000">
        <w:rPr>
          <w:rtl w:val="0"/>
        </w:rPr>
        <w:t xml:space="preserve"> (para liderança técnica e remoção de impedimentos) e uma equipe de </w:t>
      </w:r>
      <w:r w:rsidDel="00000000" w:rsidR="00000000" w:rsidRPr="00000000">
        <w:rPr>
          <w:b w:val="1"/>
          <w:bCs w:val="1"/>
          <w:rtl w:val="0"/>
        </w:rPr>
        <w:t xml:space="preserve">Desenvolvedores Full-Stack</w:t>
      </w:r>
      <w:r w:rsidDel="00000000" w:rsidR="00000000" w:rsidRPr="00000000">
        <w:rPr>
          <w:rtl w:val="0"/>
        </w:rPr>
        <w:t xml:space="preserve">. Estrategicamente, buscaremos o apoio de Conselhos Regionais de Farmácia (CRF) e Secretarias de Saúde como </w:t>
      </w:r>
      <w:r w:rsidDel="00000000" w:rsidR="00000000" w:rsidRPr="00000000">
        <w:rPr>
          <w:i w:val="1"/>
          <w:iCs w:val="1"/>
          <w:rtl w:val="0"/>
        </w:rPr>
        <w:t xml:space="preserve">Sponsors</w:t>
      </w:r>
      <w:r w:rsidDel="00000000" w:rsidR="00000000" w:rsidRPr="00000000">
        <w:rPr>
          <w:rtl w:val="0"/>
        </w:rPr>
        <w:t xml:space="preserve"> (patrocinadores), que validarão a base de dados de pontos de coleta e atuarão como promotores da solução junto à população.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9o3f26x3lxz5" w:id="8"/>
      <w:bookmarkEnd w:id="8"/>
      <w:r w:rsidDel="00000000" w:rsidR="00000000" w:rsidRPr="00000000">
        <w:rPr>
          <w:rtl w:val="0"/>
        </w:rPr>
        <w:t xml:space="preserve">6. HOW (Como será conduzido tecnicamente?)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Adotaremos uma abordagem </w:t>
      </w:r>
      <w:r w:rsidDel="00000000" w:rsidR="00000000" w:rsidRPr="00000000">
        <w:rPr>
          <w:b w:val="1"/>
          <w:bCs w:val="1"/>
          <w:rtl w:val="0"/>
        </w:rPr>
        <w:t xml:space="preserve">Adaptativa (Ágil/Scrum)</w:t>
      </w:r>
      <w:r w:rsidDel="00000000" w:rsidR="00000000" w:rsidRPr="00000000">
        <w:rPr>
          <w:rtl w:val="0"/>
        </w:rPr>
        <w:t xml:space="preserve">, permitindo entregas incrementais e ajustes rápidos baseados no feedback dos usuários. A arquitetura será baseada no conceito de </w:t>
      </w:r>
      <w:r w:rsidDel="00000000" w:rsidR="00000000" w:rsidRPr="00000000">
        <w:rPr>
          <w:b w:val="1"/>
          <w:bCs w:val="1"/>
          <w:rtl w:val="0"/>
        </w:rPr>
        <w:t xml:space="preserve">Web First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Design Responsivo</w:t>
      </w:r>
      <w:r w:rsidDel="00000000" w:rsidR="00000000" w:rsidRPr="00000000">
        <w:rPr>
          <w:rtl w:val="0"/>
        </w:rPr>
        <w:t xml:space="preserve">, utilizando frameworks como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Vue.js</w:t>
      </w:r>
      <w:r w:rsidDel="00000000" w:rsidR="00000000" w:rsidRPr="00000000">
        <w:rPr>
          <w:rtl w:val="0"/>
        </w:rPr>
        <w:t xml:space="preserve"> para o frontend 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para o backend, garantindo compatibilidade com diversos dispositivos (desktops, tablets e smartphones). O backend será construído em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com arquitetura de microserviços, garantindo que o módulo de mapas e o módulo educativo operem de forma independente e resiliente. O acesso inicial será facilitado via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em campanhas físicas, direcionando o usuário diretamente para a plataforma web, otimizando a experiência de busca e acesso à informação.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1t066w4jfcrw" w:id="9"/>
      <w:bookmarkEnd w:id="9"/>
      <w:r w:rsidDel="00000000" w:rsidR="00000000" w:rsidRPr="00000000">
        <w:rPr>
          <w:rtl w:val="0"/>
        </w:rPr>
        <w:t xml:space="preserve">7. HOW MUCH (Quanto recursos precisará?)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investimento total é estimado em recursos orgânicos e financeiros. Em termos de </w:t>
      </w:r>
      <w:r w:rsidDel="00000000" w:rsidR="00000000" w:rsidRPr="00000000">
        <w:rPr>
          <w:b w:val="1"/>
          <w:bCs w:val="1"/>
          <w:rtl w:val="0"/>
        </w:rPr>
        <w:t xml:space="preserve">recursos orgânicos</w:t>
      </w:r>
      <w:r w:rsidDel="00000000" w:rsidR="00000000" w:rsidRPr="00000000">
        <w:rPr>
          <w:rtl w:val="0"/>
        </w:rPr>
        <w:t xml:space="preserve">, prevemos aproximadamente 600 horas-homem de desenvolvimento especializado. Os </w:t>
      </w:r>
      <w:r w:rsidDel="00000000" w:rsidR="00000000" w:rsidRPr="00000000">
        <w:rPr>
          <w:b w:val="1"/>
          <w:bCs w:val="1"/>
          <w:rtl w:val="0"/>
        </w:rPr>
        <w:t xml:space="preserve">custos diretos</w:t>
      </w:r>
      <w:r w:rsidDel="00000000" w:rsidR="00000000" w:rsidRPr="00000000">
        <w:rPr>
          <w:rtl w:val="0"/>
        </w:rPr>
        <w:t xml:space="preserve"> envolverão o licenciamento de APIs de mapas (custo variável por volume de requisições), taxas de publicação nas lojas de aplicativos e a manutenção da infraestrutura em nuvem (estimada inicialmente em um modelo </w:t>
      </w:r>
      <w:r w:rsidDel="00000000" w:rsidR="00000000" w:rsidRPr="00000000">
        <w:rPr>
          <w:i w:val="1"/>
          <w:i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ou baixo custo para o MVP). Embora o custo de capital inicial possa ser otimizado, o valor de mercado do esforço técnico e da propriedade intelectual gerada representa o maior ativo do projeto, sendo essencial para garantir a sustentabilidade e segurança da plataforma (LGPD).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