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1440000" cy="428108"/>
            <wp:effectExtent b="0" l="0" r="0" t="0"/>
            <wp:docPr descr="Logotipo UNIPAM do documento acadêmico de referência" id="1" name="image1.jpg"/>
            <a:graphic>
              <a:graphicData uri="http://schemas.openxmlformats.org/drawingml/2006/picture">
                <pic:pic>
                  <pic:nvPicPr>
                    <pic:cNvPr descr="Logotipo UNIPAM do documento acadêmico de referência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428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UNIPAM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CURSO DE SISTEMAS DE INFORMAÇÃO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jc w:val="center"/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Auditoria e Segurança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jc w:val="center"/>
        <w:rPr/>
      </w:pPr>
      <w:r w:rsidDel="00000000" w:rsidR="00000000" w:rsidRPr="00000000">
        <w:rPr>
          <w:b w:val="0"/>
          <w:bCs w:val="0"/>
          <w:sz w:val="21"/>
          <w:szCs w:val="21"/>
          <w:rtl w:val="0"/>
        </w:rPr>
        <w:t xml:space="preserve">Turma / período: </w:t>
      </w:r>
      <w:r w:rsidDel="00000000" w:rsidR="00000000" w:rsidRPr="00000000">
        <w:rPr>
          <w:rtl w:val="0"/>
        </w:rPr>
        <w:t xml:space="preserve">6º B</w:t>
      </w:r>
    </w:p>
    <w:p w:rsidR="00000000" w:rsidDel="00000000" w:rsidP="00000000" w:rsidRDefault="00000000" w:rsidRPr="00000000" w14:paraId="00000006">
      <w:pPr>
        <w:spacing w:after="160" w:before="640" w:lineRule="auto"/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EQUIPE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jc w:val="center"/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Arthur • Isadora • Caio</w:t>
        <w:br w:type="textWrapping"/>
        <w:t xml:space="preserve">Higor • Sabrina • Gustavo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spacing w:after="180" w:before="1160" w:lineRule="auto"/>
        <w:jc w:val="center"/>
        <w:rPr/>
      </w:pPr>
      <w:r w:rsidDel="00000000" w:rsidR="00000000" w:rsidRPr="00000000">
        <w:rPr>
          <w:rtl w:val="0"/>
        </w:rPr>
        <w:t xml:space="preserve">Política de Gestão de Riscos</w:t>
      </w:r>
    </w:p>
    <w:p w:rsidR="00000000" w:rsidDel="00000000" w:rsidP="00000000" w:rsidRDefault="00000000" w:rsidRPr="00000000" w14:paraId="00000009">
      <w:pPr>
        <w:pStyle w:val="Subtitle"/>
        <w:spacing w:after="140" w:before="0" w:lineRule="auto"/>
        <w:jc w:val="center"/>
        <w:rPr/>
      </w:pPr>
      <w:r w:rsidDel="00000000" w:rsidR="00000000" w:rsidRPr="00000000">
        <w:rPr>
          <w:rtl w:val="0"/>
        </w:rPr>
        <w:t xml:space="preserve">AeroLog Transportes Aéreos</w:t>
      </w:r>
    </w:p>
    <w:p w:rsidR="00000000" w:rsidDel="00000000" w:rsidP="00000000" w:rsidRDefault="00000000" w:rsidRPr="00000000" w14:paraId="0000000A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  <w:t xml:space="preserve">PGR — Gestão de riscos de segurança da informação</w:t>
      </w:r>
    </w:p>
    <w:p w:rsidR="00000000" w:rsidDel="00000000" w:rsidP="00000000" w:rsidRDefault="00000000" w:rsidRPr="00000000" w14:paraId="0000000B">
      <w:pPr>
        <w:spacing w:after="80" w:before="240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Patos de Minas - MG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jc w:val="center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1"/>
        <w:spacing w:after="0" w:before="0" w:lineRule="auto"/>
        <w:jc w:val="center"/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Arthur • Isadora • Caio</w:t>
        <w:br w:type="textWrapping"/>
        <w:t xml:space="preserve">Higor • Sabrina • Gustavo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spacing w:after="180" w:before="1700" w:lineRule="auto"/>
        <w:jc w:val="center"/>
        <w:rPr/>
      </w:pPr>
      <w:r w:rsidDel="00000000" w:rsidR="00000000" w:rsidRPr="00000000">
        <w:rPr>
          <w:rtl w:val="0"/>
        </w:rPr>
        <w:t xml:space="preserve">Política de Gestão de Riscos</w:t>
      </w:r>
    </w:p>
    <w:p w:rsidR="00000000" w:rsidDel="00000000" w:rsidP="00000000" w:rsidRDefault="00000000" w:rsidRPr="00000000" w14:paraId="0000000F">
      <w:pPr>
        <w:pStyle w:val="Subtitle"/>
        <w:spacing w:after="800" w:before="0" w:lineRule="auto"/>
        <w:jc w:val="center"/>
        <w:rPr/>
      </w:pPr>
      <w:r w:rsidDel="00000000" w:rsidR="00000000" w:rsidRPr="00000000">
        <w:rPr>
          <w:rtl w:val="0"/>
        </w:rPr>
        <w:t xml:space="preserve">AeroLog Transportes Aéreos</w:t>
      </w:r>
    </w:p>
    <w:p w:rsidR="00000000" w:rsidDel="00000000" w:rsidP="00000000" w:rsidRDefault="00000000" w:rsidRPr="00000000" w14:paraId="00000010">
      <w:pPr>
        <w:spacing w:after="240" w:lineRule="auto"/>
        <w:ind w:left="4252" w:firstLine="0"/>
        <w:rPr/>
      </w:pPr>
      <w:r w:rsidDel="00000000" w:rsidR="00000000" w:rsidRPr="00000000">
        <w:rPr>
          <w:rtl w:val="0"/>
        </w:rPr>
        <w:t xml:space="preserve">Documento interno para identificação, avaliação, tratamento e monitoramento dos riscos de segurança da informação da AeroLog Transportes Aéreos.</w:t>
      </w:r>
    </w:p>
    <w:p w:rsidR="00000000" w:rsidDel="00000000" w:rsidP="00000000" w:rsidRDefault="00000000" w:rsidRPr="00000000" w14:paraId="00000011">
      <w:pPr>
        <w:ind w:left="4252" w:firstLine="0"/>
        <w:rPr/>
      </w:pPr>
      <w:r w:rsidDel="00000000" w:rsidR="00000000" w:rsidRPr="00000000">
        <w:rPr>
          <w:rtl w:val="0"/>
        </w:rPr>
        <w:t xml:space="preserve">Classificação: Uso interno</w:t>
      </w:r>
    </w:p>
    <w:p w:rsidR="00000000" w:rsidDel="00000000" w:rsidP="00000000" w:rsidRDefault="00000000" w:rsidRPr="00000000" w14:paraId="00000012">
      <w:pPr>
        <w:ind w:left="4252" w:firstLine="0"/>
        <w:rPr/>
      </w:pPr>
      <w:r w:rsidDel="00000000" w:rsidR="00000000" w:rsidRPr="00000000">
        <w:rPr>
          <w:rtl w:val="0"/>
        </w:rPr>
        <w:t xml:space="preserve">Versão: 0.3</w:t>
      </w:r>
    </w:p>
    <w:p w:rsidR="00000000" w:rsidDel="00000000" w:rsidP="00000000" w:rsidRDefault="00000000" w:rsidRPr="00000000" w14:paraId="00000013">
      <w:pPr>
        <w:ind w:left="4252" w:firstLine="0"/>
        <w:rPr/>
      </w:pPr>
      <w:r w:rsidDel="00000000" w:rsidR="00000000" w:rsidRPr="00000000">
        <w:rPr>
          <w:rtl w:val="0"/>
        </w:rPr>
        <w:t xml:space="preserve">Data de emissão: 2026</w:t>
      </w:r>
    </w:p>
    <w:p w:rsidR="00000000" w:rsidDel="00000000" w:rsidP="00000000" w:rsidRDefault="00000000" w:rsidRPr="00000000" w14:paraId="00000014">
      <w:pPr>
        <w:spacing w:after="120" w:before="600" w:lineRule="auto"/>
        <w:jc w:val="center"/>
        <w:rPr/>
      </w:pPr>
      <w:r w:rsidDel="00000000" w:rsidR="00000000" w:rsidRPr="00000000">
        <w:rPr>
          <w:rtl w:val="0"/>
        </w:rPr>
        <w:t xml:space="preserve">Responsável pela elaboração: Gestão de Segurança da Informação</w:t>
      </w:r>
    </w:p>
    <w:p w:rsidR="00000000" w:rsidDel="00000000" w:rsidP="00000000" w:rsidRDefault="00000000" w:rsidRPr="00000000" w14:paraId="00000015">
      <w:pPr>
        <w:spacing w:after="120" w:before="0" w:lineRule="auto"/>
        <w:jc w:val="center"/>
        <w:rPr/>
      </w:pPr>
      <w:r w:rsidDel="00000000" w:rsidR="00000000" w:rsidRPr="00000000">
        <w:rPr>
          <w:rtl w:val="0"/>
        </w:rPr>
        <w:t xml:space="preserve">Aprovação: Alta Administração</w:t>
      </w:r>
    </w:p>
    <w:p w:rsidR="00000000" w:rsidDel="00000000" w:rsidP="00000000" w:rsidRDefault="00000000" w:rsidRPr="00000000" w14:paraId="00000016">
      <w:pPr>
        <w:spacing w:after="80" w:before="1960" w:lineRule="auto"/>
        <w:jc w:val="center"/>
        <w:rPr/>
      </w:pPr>
      <w:r w:rsidDel="00000000" w:rsidR="00000000" w:rsidRPr="00000000">
        <w:rPr>
          <w:rtl w:val="0"/>
        </w:rPr>
        <w:t xml:space="preserve">Uso interno</w:t>
      </w:r>
    </w:p>
    <w:p w:rsidR="00000000" w:rsidDel="00000000" w:rsidP="00000000" w:rsidRDefault="00000000" w:rsidRPr="00000000" w14:paraId="00000017">
      <w:pPr>
        <w:spacing w:after="0" w:before="0" w:lineRule="auto"/>
        <w:jc w:val="center"/>
        <w:rPr/>
        <w:sectPr>
          <w:headerReference r:id="rId7" w:type="default"/>
          <w:headerReference r:id="rId8" w:type="first"/>
          <w:headerReference r:id="rId9" w:type="even"/>
          <w:footerReference r:id="rId10" w:type="default"/>
          <w:footerReference r:id="rId11" w:type="first"/>
          <w:footerReference r:id="rId12" w:type="even"/>
          <w:pgSz w:h="16838" w:w="11906" w:orient="portrait"/>
          <w:pgMar w:bottom="1020" w:top="1020" w:left="1134" w:right="1134" w:header="397" w:footer="454"/>
          <w:pgNumType w:start="1"/>
        </w:sect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1. Objetivo e Escopo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Esta Política de Gestão de Riscos estabelece os critérios para identificar, analisar e avaliar os riscos de segurança da informação da AeroLog Transportes Aéreos. A avaliação busca apoiar decisões proporcionais à probabilidade de ocorrência e à gravidade das consequências para as operações da empresa.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 escopo abrange o sistema de reservas, a emissão de passagens por meio do GDS, os dados dos passageiros, os 50 servidores locais, os sistemas legados de controle de voo, os sistemas críticos embarcados nas aeronaves e os acessos utilizados no suporte internacional aos softwares de navegação. Também são considerados os processos de transporte de cargas e passageiros que dependem desses ativos.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 análise contempla cinco cenários prioritários da AeroLog: ataques de negação de serviço contra o sistema de reservas, fraude na emissão de passagens, comprometimento relacionado ao suporte externo, falha de sistemas legados de controle de voo e comprometimento de sistemas críticos embarcados.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Base da classificação. </w:t>
      </w:r>
      <w:r w:rsidDel="00000000" w:rsidR="00000000" w:rsidRPr="00000000">
        <w:rPr>
          <w:rtl w:val="0"/>
        </w:rPr>
        <w:t xml:space="preserve">As classificações são qualitativas e utilizam os registros e as evidências disponíveis. Frequência de incidentes, perdas financeiras, duração de indisponibilidades e controles existentes devem ser incorporados às revisões periódicas sempre que novos dados forem produzidos. Uma medida de segurança somente será considerada implantada quando houver evidência verificável de sua execução.</w:t>
      </w:r>
    </w:p>
    <w:p w:rsidR="00000000" w:rsidDel="00000000" w:rsidP="00000000" w:rsidRDefault="00000000" w:rsidRPr="00000000" w14:paraId="0000001D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2. Metodologia de Avaliação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 avaliação utiliza uma abordagem qualitativa. Cada risco é descrito pelo evento indesejado e pelo ativo ou processo afetado, recebe uma classificação de probabilidade e impacto e, em seguida, é posicionado na matriz de risco. A justificativa registra as informações disponíveis sobre a operação da AeroLog e explicita as incertezas que influenciam a classificação.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As escalas padronizam a avaliação dos riscos e permitem comparar cenários distintos. Os níveis atribuídos devem ser revistos quando houver novos registros de incidentes, mudanças nos ativos ou evidências sobre a eficácia dos controles.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Escala de probabilidade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 probabilidade expressa a possibilidade de ocorrência do risco nas condições operacionais e tecnológicas da AeroLog. A classificação considera ameaças registradas, exposições conhecidas e a quantidade de evidência disponível.</w:t>
      </w:r>
    </w:p>
    <w:tbl>
      <w:tblPr>
        <w:tblStyle w:val="Table1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665"/>
        <w:gridCol w:w="6973"/>
        <w:tblGridChange w:id="0">
          <w:tblGrid>
            <w:gridCol w:w="2665"/>
            <w:gridCol w:w="6973"/>
          </w:tblGrid>
        </w:tblGridChange>
      </w:tblGrid>
      <w:tr>
        <w:trPr>
          <w:cantSplit w:val="1"/>
          <w:tblHeader w:val="1"/>
        </w:trPr>
        <w:tc>
          <w:tcPr>
            <w:shd w:fill="e7ed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Nível de probabilidade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d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Critério de classificação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40" w:before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 evento é plausível, mas não há registro disponível de ocorrência anterior nem exposição específica que indique repetição frequente. A falta de histórico, sozinha, não basta para classificar um risco como baixo.</w:t>
            </w:r>
          </w:p>
        </w:tc>
      </w:tr>
      <w:tr>
        <w:trPr>
          <w:cantSplit w:val="1"/>
          <w:tblHeader w:val="0"/>
        </w:trPr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Existem condições, dependências ou características tecnológicas que podem permitir o evento, mas não há evidência suficiente para considerá-lo recorrente ou iminente.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40" w:before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 ameaça ou tentativa já foi registrada, ou a exposição identificada sustenta uma possibilidade relevante de nova ocorrência.</w:t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Escala de impacto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 impacto representa a gravidade das consequências caso o evento ocorra. Para cada risco, considera-se a consequência mais grave sustentada pelas informações disponíveis sobre operações, segurança operacional, dados pessoais e efeitos financeiros ou reputacionais.</w:t>
      </w:r>
    </w:p>
    <w:tbl>
      <w:tblPr>
        <w:tblStyle w:val="Table2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665"/>
        <w:gridCol w:w="6973"/>
        <w:tblGridChange w:id="0">
          <w:tblGrid>
            <w:gridCol w:w="2665"/>
            <w:gridCol w:w="6973"/>
          </w:tblGrid>
        </w:tblGridChange>
      </w:tblGrid>
      <w:tr>
        <w:trPr>
          <w:cantSplit w:val="1"/>
          <w:tblHeader w:val="1"/>
        </w:trPr>
        <w:tc>
          <w:tcPr>
            <w:shd w:fill="e7ed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Nível de 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d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Critério de classificação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Baixo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 evento produz efeito localizado, de curta duração e com recuperação simples, sem comprometer um processo essencial, dados relevantes ou a segurança operacional.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 evento prejudica um processo ou grupo de usuários de forma relevante, mas permanece restrito e pode ser recuperado sem interrupção grave das operações essenciais.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 evento pode causar interrupção expressiva, fraude relevante, exposição de dados, perda financeira significativa ou dano importante à confiança dos clientes.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 evento pode comprometer gravemente uma operação essencial, a segurança operacional, um sistema crítico ou a continuidade de serviços indispensáveis.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Style w:val="Heading2"/>
        <w:keepNext w:val="1"/>
        <w:jc w:val="left"/>
        <w:rPr/>
      </w:pPr>
      <w:r w:rsidDel="00000000" w:rsidR="00000000" w:rsidRPr="00000000">
        <w:rPr>
          <w:rtl w:val="0"/>
        </w:rPr>
        <w:t xml:space="preserve">Matriz de classificação de riscos</w:t>
      </w:r>
    </w:p>
    <w:p w:rsidR="00000000" w:rsidDel="00000000" w:rsidP="00000000" w:rsidRDefault="00000000" w:rsidRPr="00000000" w14:paraId="00000037">
      <w:pPr>
        <w:keepNext w:val="1"/>
        <w:rPr/>
      </w:pPr>
      <w:r w:rsidDel="00000000" w:rsidR="00000000" w:rsidRPr="00000000">
        <w:rPr>
          <w:rtl w:val="0"/>
        </w:rPr>
        <w:t xml:space="preserve">A matriz classifica cada risco pelo cruzamento entre sua probabilidade estimada e seu impacto potencial. O resultado é um nível baixo, médio, alto ou crítico, utilizado para ordenar a análise e o tratamento. A posição na matriz deve sempre ser acompanhada da justificativa do risco, pois o cálculo não substitui a avaliação do contexto.</w:t>
      </w:r>
    </w:p>
    <w:tbl>
      <w:tblPr>
        <w:tblStyle w:val="Table3"/>
        <w:tblW w:w="9639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835"/>
        <w:gridCol w:w="1701"/>
        <w:gridCol w:w="1701"/>
        <w:gridCol w:w="1701"/>
        <w:gridCol w:w="1701"/>
        <w:tblGridChange w:id="0">
          <w:tblGrid>
            <w:gridCol w:w="2835"/>
            <w:gridCol w:w="1701"/>
            <w:gridCol w:w="1701"/>
            <w:gridCol w:w="1701"/>
            <w:gridCol w:w="1701"/>
          </w:tblGrid>
        </w:tblGridChange>
      </w:tblGrid>
      <w:tr>
        <w:trPr>
          <w:cantSplit w:val="1"/>
          <w:tblHeader w:val="1"/>
        </w:trPr>
        <w:tc>
          <w:tcPr>
            <w:shd w:fill="e7ed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Probabilidade / 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d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Baixo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d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d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d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Baixo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Baixo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Baixo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Critérios de priorização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 prioridade aumenta conforme o nível indicado pela matriz. Quando dois riscos tiverem o mesmo nível, terá precedência aquele com maior impacto. Persistindo o empate, devem ser considerados a abrangência dos processos afetados e o potencial de atingir operações essenciais.</w:t>
      </w:r>
    </w:p>
    <w:p w:rsidR="00000000" w:rsidDel="00000000" w:rsidP="00000000" w:rsidRDefault="00000000" w:rsidRPr="00000000" w14:paraId="0000004E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Risco baixo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Prioridade: </w:t>
      </w:r>
      <w:r w:rsidDel="00000000" w:rsidR="00000000" w:rsidRPr="00000000">
        <w:rPr>
          <w:rtl w:val="0"/>
        </w:rPr>
        <w:t xml:space="preserve">Requer acompanhamento para confirmar que a exposição permanece limitada e que mudanças no ambiente não aumentaram sua gravidade.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Mitigação inicial: </w:t>
      </w:r>
      <w:r w:rsidDel="00000000" w:rsidR="00000000" w:rsidRPr="00000000">
        <w:rPr>
          <w:rtl w:val="0"/>
        </w:rPr>
        <w:t xml:space="preserve">Manter controles básicos, registrar ocorrências e revisar periodicamente os fatores de probabilidade e impacto.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Risco médio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Prioridade: </w:t>
      </w:r>
      <w:r w:rsidDel="00000000" w:rsidR="00000000" w:rsidRPr="00000000">
        <w:rPr>
          <w:rtl w:val="0"/>
        </w:rPr>
        <w:t xml:space="preserve">Deve entrar no planejamento de tratamento porque pode causar prejuízo relevante ou aumentar de nível se a exposição mudar.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Mitigação inicial: </w:t>
      </w:r>
      <w:r w:rsidDel="00000000" w:rsidR="00000000" w:rsidRPr="00000000">
        <w:rPr>
          <w:rtl w:val="0"/>
        </w:rPr>
        <w:t xml:space="preserve">Reduzir as condições que permitem o evento, definir um responsável e acompanhar evidências de funcionamento dos controles adotados.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Risco alto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Prioridade: </w:t>
      </w:r>
      <w:r w:rsidDel="00000000" w:rsidR="00000000" w:rsidRPr="00000000">
        <w:rPr>
          <w:rtl w:val="0"/>
        </w:rPr>
        <w:t xml:space="preserve">Exige tratamento em curto prazo porque combina exposição relevante com consequências expressivas, ou apresenta impacto crítico mesmo com menor probabilidade.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Mitigação inicial: </w:t>
      </w:r>
      <w:r w:rsidDel="00000000" w:rsidR="00000000" w:rsidRPr="00000000">
        <w:rPr>
          <w:rtl w:val="0"/>
        </w:rPr>
        <w:t xml:space="preserve">Aplicar controles preventivos e detectivos adequados ao evento, restringir acessos quando aplicável e reforçar o monitoramento do ativo ou processo afetado.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Risco crítico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Prioridade: </w:t>
      </w:r>
      <w:r w:rsidDel="00000000" w:rsidR="00000000" w:rsidRPr="00000000">
        <w:rPr>
          <w:rtl w:val="0"/>
        </w:rPr>
        <w:t xml:space="preserve">Exige decisão imediata porque pode interromper serviços essenciais, comprometer a segurança operacional ou produzir danos graves.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Mitigação inicial: </w:t>
      </w:r>
      <w:r w:rsidDel="00000000" w:rsidR="00000000" w:rsidRPr="00000000">
        <w:rPr>
          <w:rtl w:val="0"/>
        </w:rPr>
        <w:t xml:space="preserve">Reduzir a exposição sem demora, adotar barreiras adicionais, preparar resposta ao evento e acompanhar a execução das medidas pela Alta Administração.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As classificações representam o risco inerente ao cenário descrito. Controles apenas propostos não reduzem o nível atual; uma avaliação residual somente poderá ser realizada depois que a medida correspondente estiver implantada e verificada.</w:t>
      </w:r>
    </w:p>
    <w:p w:rsidR="00000000" w:rsidDel="00000000" w:rsidP="00000000" w:rsidRDefault="00000000" w:rsidRPr="00000000" w14:paraId="0000005E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3. Identificação e Avaliação dos Riscos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O registro inicial contém os cinco riscos prioritários deste escopo. Cada item mantém um identificador único, descreve o evento analisado e indica o ativo ou processo diretamente afetado. As classificações seguem os critérios definidos na seção anterior.</w:t>
      </w:r>
    </w:p>
    <w:tbl>
      <w:tblPr>
        <w:tblStyle w:val="Table4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652"/>
        <w:gridCol w:w="3005"/>
        <w:gridCol w:w="2381"/>
        <w:gridCol w:w="1134"/>
        <w:gridCol w:w="1247"/>
        <w:gridCol w:w="1219"/>
        <w:tblGridChange w:id="0">
          <w:tblGrid>
            <w:gridCol w:w="652"/>
            <w:gridCol w:w="3005"/>
            <w:gridCol w:w="2381"/>
            <w:gridCol w:w="1134"/>
            <w:gridCol w:w="1247"/>
            <w:gridCol w:w="1219"/>
          </w:tblGrid>
        </w:tblGridChange>
      </w:tblGrid>
      <w:tr>
        <w:trPr>
          <w:cantSplit w:val="1"/>
          <w:tblHeader w:val="1"/>
        </w:trPr>
        <w:tc>
          <w:tcPr>
            <w:shd w:fill="e7ed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d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d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Ativo / processo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d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Prob.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d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d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DDoS contra o sistema de reservas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Reservas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Fraude na emissão de passagens via GDS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Emissão de passagens / GDS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Comprometimento de sistemas por suporte 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Acesso de fornecedores / sistemas de navegação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Falha de sistemas legados de controle de voo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Controle de voo / operações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Comprometimento de sistema crítico embarcado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Sistemas embarcados / operações de voo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pStyle w:val="Heading2"/>
        <w:rPr/>
      </w:pPr>
      <w:r w:rsidDel="00000000" w:rsidR="00000000" w:rsidRPr="00000000">
        <w:rPr>
          <w:rtl w:val="0"/>
        </w:rPr>
        <w:t xml:space="preserve">Justificativas das avaliações</w:t>
      </w:r>
    </w:p>
    <w:tbl>
      <w:tblPr>
        <w:tblStyle w:val="Table5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680"/>
        <w:gridCol w:w="4649"/>
        <w:gridCol w:w="4309"/>
        <w:tblGridChange w:id="0">
          <w:tblGrid>
            <w:gridCol w:w="680"/>
            <w:gridCol w:w="4649"/>
            <w:gridCol w:w="4309"/>
          </w:tblGrid>
        </w:tblGridChange>
      </w:tblGrid>
      <w:tr>
        <w:trPr>
          <w:cantSplit w:val="1"/>
          <w:tblHeader w:val="1"/>
        </w:trPr>
        <w:tc>
          <w:tcPr>
            <w:shd w:fill="e7ed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d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Base da 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d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40" w:before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 sistema de reservas é alvo de ataques de negação de serviço, com maior exposição durante períodos de alta demanda.</w:t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Probabilidade alta porque a ameaça já foi observada. Impacto alto porque a indisponibilidade pode impedir consultas, reservas e emissões, afetando passageiros, atendimento e receita. A combinação resulta em risco crítico.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40" w:before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Foram registradas tentativas de fraude na emissão de passagens por meio do GDS.</w:t>
            </w:r>
          </w:p>
        </w:tc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Probabilidade alta devido à existência de tentativas relatadas. Impacto alto pelos possíveis prejuízos financeiros, contestações, uso indevido do processo de emissão e dano à confiança dos clientes. O nível resultante é crítico.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 AeroLog mantém contratos internacionais de suporte para softwares de navegação, o que cria uma relação de acesso e dependência externa.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40" w:before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Probabilidade média porque o vetor é plausível, mas não há registro disponível de incidente nem de falha específica de controle. O impacto é alto porque um acesso externo comprometido pode afetar sistemas relevantes para a operação. O nível resultante é alto.</w:t>
            </w:r>
          </w:p>
        </w:tc>
      </w:tr>
      <w:tr>
        <w:trPr>
          <w:cantSplit w:val="1"/>
          <w:tblHeader w:val="0"/>
        </w:trPr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40" w:before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Os sistemas legados de controle de voo integram o escopo da avaliação por sua relevância para a operação aérea.</w:t>
            </w:r>
          </w:p>
        </w:tc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Probabilidade média porque a condição legada indica exposição plausível, embora não exista histórico de falhas. O impacto é crítico pelo potencial de comprometer o suporte às operações de voo e a segurança operacional. O nível é crítico.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40" w:before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 AeroLog opera sistemas críticos embarcados cuja integridade e disponibilidade são essenciais às operações de voo.</w:t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Probabilidade baixa porque não há incidente relatado nem detalhe que comprove exposição frequente. O impacto é crítico porque a perda de integridade ou disponibilidade de um sistema embarcado pode afetar operações de voo e segurança operacional. O nível resultante é alto.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pStyle w:val="Heading2"/>
        <w:rPr/>
      </w:pPr>
      <w:r w:rsidDel="00000000" w:rsidR="00000000" w:rsidRPr="00000000">
        <w:rPr>
          <w:rtl w:val="0"/>
        </w:rPr>
        <w:t xml:space="preserve">Distinção entre riscos relacionados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Os riscos podem compartilhar ativos, causas ou consequências, mas cada identificador representa um evento principal diferente. A separação abaixo evita duplicidade e preserva o alcance usado na avaliação.</w:t>
      </w:r>
    </w:p>
    <w:p w:rsidR="00000000" w:rsidDel="00000000" w:rsidP="00000000" w:rsidRDefault="00000000" w:rsidRPr="00000000" w14:paraId="00000099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R01 Ataque DDoS ao sistema de reservas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O R01 trata da indisponibilidade causada por grande volume de requisições maliciosas contra o sistema de reservas. Ele se diferencia do R02 porque o objetivo do evento é impedir ou degradar o acesso ao serviço, enquanto a fraude pode ocorrer mesmo quando o sistema continua disponível.</w:t>
      </w:r>
    </w:p>
    <w:p w:rsidR="00000000" w:rsidDel="00000000" w:rsidP="00000000" w:rsidRDefault="00000000" w:rsidRPr="00000000" w14:paraId="0000009B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R02 Fraude na emissão de passagens via GDS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O R02 trata da emissão indevida ou da manipulação fraudulenta de passagens por meio do GDS. Seu foco é a integridade e a legitimidade da transação. Diferentemente do R01, não depende de indisponibilidade; diferencia-se também dos riscos operacionais de voo porque afeta diretamente o processo comercial de emissão.</w:t>
      </w:r>
    </w:p>
    <w:p w:rsidR="00000000" w:rsidDel="00000000" w:rsidP="00000000" w:rsidRDefault="00000000" w:rsidRPr="00000000" w14:paraId="0000009D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R03 Comprometimento por suporte externo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O R03 descreve a origem do comprometimento no acesso ou na atividade de um fornecedor de suporte. Ele se distingue dos demais por representar um vetor relacionado a terceiros. Pode anteceder o R05 se esse acesso atingir um sistema embarcado, mas sua classificação permanece centrada no caminho de entrada e na dependência externa.</w:t>
      </w:r>
    </w:p>
    <w:p w:rsidR="00000000" w:rsidDel="00000000" w:rsidP="00000000" w:rsidRDefault="00000000" w:rsidRPr="00000000" w14:paraId="0000009F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R04 Falha de sistemas legados de controle de voo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O R04 trata de falha técnica associada a sistemas legados de controle de voo, como limitações de manutenção, compatibilidade ou confiabilidade. Diferencia-se do R03 e do R05 porque não exige acesso externo nem comprometimento intencional. Também não foi presumida dependência entre esse sistema e o sistema de reservas.</w:t>
      </w:r>
    </w:p>
    <w:p w:rsidR="00000000" w:rsidDel="00000000" w:rsidP="00000000" w:rsidRDefault="00000000" w:rsidRPr="00000000" w14:paraId="000000A1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R05 Comprometimento de sistema crítico embarcado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O R05 descreve o ativo atingido e a perda de integridade ou disponibilidade de um sistema crítico embarcado. Ele se diferencia do R03, que identifica o suporte externo como vetor, e do R04, que trata de falha em sistema legado. Se um único incidente envolver R03 e R05, a causa e a consequência devem ser relacionadas sem contabilizar o mesmo dano duas vezes.</w:t>
      </w:r>
    </w:p>
    <w:p w:rsidR="00000000" w:rsidDel="00000000" w:rsidP="00000000" w:rsidRDefault="00000000" w:rsidRPr="00000000" w14:paraId="000000A3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4. Tratamento dos Riscos</w:t>
      </w:r>
    </w:p>
    <w:p w:rsidR="00000000" w:rsidDel="00000000" w:rsidP="00000000" w:rsidRDefault="00000000" w:rsidRPr="00000000" w14:paraId="000000A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Os tratamentos abaixo estão vinculados aos riscos identificados na seção 3 e às diretrizes da Política de Segurança da Informação (PSI), considerando também as estratégias, os gatilhos de ativação e os critérios de recuperação descritos no Plano de Continuidade de Negócios (PCN). As medidas constituem propostas para a AeroLog e não devem ser consideradas controles já implantados. A execução depende de validação técnica, disponibilidade de recursos e alinhamento entre PSI, PGR e PCN.</w:t>
      </w:r>
    </w:p>
    <w:p w:rsidR="00000000" w:rsidDel="00000000" w:rsidP="00000000" w:rsidRDefault="00000000" w:rsidRPr="00000000" w14:paraId="000000A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color w:val="40404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6360"/>
        <w:gridCol w:w="1875"/>
        <w:tblGridChange w:id="0">
          <w:tblGrid>
            <w:gridCol w:w="660"/>
            <w:gridCol w:w="6360"/>
            <w:gridCol w:w="187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d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ID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d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Ponto de partida para o tratamento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d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PSI relacionada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R01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Avaliar proteção contra DDoS, acompanhamento da disponibilidade e estratégia de continuidade.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4.2, 4.6 e 4.7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R02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Avaliar controles de acesso, verificação de operações suspeitas e registros de emissão.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4.1, 4.2 e 4.8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R03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Propor autorização de suporte, acesso limitado, autenticação adequada, registros e requisitos contratuais.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4.1, 4.3, 4.4 e 4.7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R04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Avaliar atualização ou substituição planejada e recuperação compatível com a operação.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4.3, 4.5 e 4.6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R05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Propor controle de alterações, restrição de acesso, avaliação de integridade e resposta técnica segura.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4.3, 4.5 e 4.7</w:t>
            </w:r>
          </w:p>
        </w:tc>
      </w:tr>
    </w:tbl>
    <w:p w:rsidR="00000000" w:rsidDel="00000000" w:rsidP="00000000" w:rsidRDefault="00000000" w:rsidRPr="00000000" w14:paraId="000000C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Plano de tratamento dos riscos</w:t>
      </w:r>
    </w:p>
    <w:tbl>
      <w:tblPr>
        <w:tblStyle w:val="Table7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0"/>
        <w:gridCol w:w="2160"/>
        <w:gridCol w:w="1935"/>
        <w:gridCol w:w="1830"/>
        <w:gridCol w:w="2355"/>
        <w:tblGridChange w:id="0">
          <w:tblGrid>
            <w:gridCol w:w="630"/>
            <w:gridCol w:w="2160"/>
            <w:gridCol w:w="1935"/>
            <w:gridCol w:w="1830"/>
            <w:gridCol w:w="235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d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ID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d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Estratégia e prioridade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d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Responsável funcional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d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Prazo / critério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d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Evidência de conclusão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R01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Mitigar — crítica; ação imediata. Propor proteção anti-DDoS, monitoramento de disponibilidade e plano de resposta; alinhar continuidade e backup offline ao PCN.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Equipe de TI; gestor do sistema de reservas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Imediato para definir resposta; implantação priorizada e validada por teste.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Configuração aprovada; registros de monitoramento; teste de resposta/continuidade documentado.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R02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>
              <w:rPr>
                <w:rFonts w:ascii="Arial" w:hAnsi="Arial"/>
                <w:sz w:val="17"/>
              </w:rPr>
              <w:t>Mitigar — crítica; ação imediata. Restringir permissões de emissão, revisar acessos, monitorar operações suspeitas e proteger registros do GDS. Incluir capacitação periódica das equipes que operam o GDS para prevenção e comunicação de fraudes.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Equipe de TI e responsável pelo processo de emissão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Imediato para revisar acessos; controles implantados em curto prazo.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Revisão de permissões registrada; alertas e trilhas de auditoria verificáveis; teste de análise de operação suspeita.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R03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Mitigar e compartilhar contratualmente — alta. Exigir autorização individual, MFA, menor privilégio, acesso remoto limitado, registros e comunicação de incidentes por fornecedores.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Equipe de TI e responsável pelo contrato/ sistema de navegação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Antes de novo acesso ou renovação contratual; revisar acessos trimestralmente.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Autorizações e revisão de acessos registradas; logs de sessões; cláusulas contratuais e teste de revogação.</w:t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R04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Mitigar — crítica; ação imediata. Avaliar tecnicamente os sistemas legados, priorizar correções seguras, planejar atualização/substituição e validar recuperação sem comprometer a segurança operacional.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Equipe de TI e equipes técnicas de operações aéreas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Avaliação prioritária imediata; plano de correção com etapas e validação técnica.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Inventário/avaliação documentados; plano aprovado; registros de mudança e teste de recuperação.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R05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Mitigar — alta. Restringir acesso e alterações, verificar integridade, avaliar atualizações com as equipes competentes e preparar resposta técnica segura.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Equipe de TI e equipes técnicas de operações aéreas; fornecedor autorizado quando aplicável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Priorizar avaliação técnica e definir cronograma conforme criticidade e segurança operacional.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Autorizações e registros de alterações; evidência de verificação de integridade; teste ou relatório técnico aprovado.</w:t>
            </w:r>
          </w:p>
        </w:tc>
      </w:tr>
    </w:tbl>
    <w:p w:rsidR="00000000" w:rsidDel="00000000" w:rsidP="00000000" w:rsidRDefault="00000000" w:rsidRPr="00000000" w14:paraId="000000F0">
      <w:pPr>
        <w:rPr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7770"/>
        <w:tblGridChange w:id="0">
          <w:tblGrid>
            <w:gridCol w:w="1125"/>
            <w:gridCol w:w="777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d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Risco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d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Ligação inicial com o PCN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R01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C01 para indisponibilidade relevante das reservas; C04 se houver impacto cibernético amplo/prolongado. Backup offline não substitui a mitigação DDoS.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R02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Apuração e conciliação das transações; acionar contingência somente se a fraude provocar interrupção relevante. Não implica indisponibilidade automaticamente.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R03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C03 para comprometimento por suporte externo; C04 se o impacto for amplo. Se atingir sistema embarcado, coordenar também C02/R05.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R04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Seção 4 do PCN: continuidade operacional durante falha de gerenciamento/controle de voo. C01 somente se dependência de reservas for confirmada e justificada.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R05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C02 para sistema crítico/embarcado; C04 quando o evento tiver impacto amplo. Contar com segurança e só retomar após validação técnica e liberação competente.</w:t>
            </w:r>
          </w:p>
        </w:tc>
      </w:tr>
    </w:tbl>
    <w:p w:rsidR="00000000" w:rsidDel="00000000" w:rsidP="00000000" w:rsidRDefault="00000000" w:rsidRPr="00000000" w14:paraId="000001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40"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40"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Orientações complementares de integração com o PCN</w:t>
      </w:r>
    </w:p>
    <w:tbl>
      <w:tblPr>
        <w:tblStyle w:val="Table9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6750"/>
        <w:tblGridChange w:id="0">
          <w:tblGrid>
            <w:gridCol w:w="2145"/>
            <w:gridCol w:w="67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d9ea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2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Tema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d9ea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r>
              <w:t>Diretriz de integração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2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R01 — Ataque DDoS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2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Combinar a mitigação do ataque com a recuperação dos dados. O backup, isoladamente, não restabelece a disponibilidade enquanto o ataque estiver ativo.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2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R03 e R05 — Incidentes técnicos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2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Conter o incidente preservando evidências e respeitando as autorizações técnicas e operacionais. A retomada deve ocorrer somente após validação técnica e liberação competente.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2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R04 — Sistemas de controle de voo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2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 continuidade operacional depende de informações atuais, íntegras e verificadas. Não presume dependência automática entre o sistema de controle de voo e o sistema de reservas.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r>
              <w:t>Estratégia de backup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2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 PCN propõe cópias incrementais diárias, cópias completas semanais, ao menos uma cópia offline e testes de restauração.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r>
              <w:t>Objetivos de recuperação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r>
              <w:t>O PCN adota prioridades qualitativas. Caso sejam definidos RTO e RPO, os valores deverão ser aprovados em conjunto com as estratégias de continuidade e backup.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2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Validação dos controles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2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As medidas descritas são propostas a validar. Não devem ser tratadas como implantadas ou eficazes até que existam evidências verificáveis.</w:t>
            </w:r>
          </w:p>
        </w:tc>
      </w:tr>
    </w:tbl>
    <w:p w:rsidR="00000000" w:rsidDel="00000000" w:rsidP="00000000" w:rsidRDefault="00000000" w:rsidRPr="00000000" w14:paraId="00000117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5. Responsabilidades</w:t>
      </w:r>
    </w:p>
    <w:p w:rsidR="00000000" w:rsidDel="00000000" w:rsidP="00000000" w:rsidRDefault="00000000" w:rsidRPr="00000000" w14:paraId="0000011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color w:val="404040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404040"/>
          <w:rtl w:val="0"/>
        </w:rPr>
        <w:t xml:space="preserve">A gestão dos riscos é compartilhada entre a Alta Administração, a equipe de TI, os responsáveis pelas áreas ou sistemas, as equipes técnicas de operações aéreas e os fornecedores. Cada risco deverá ter um responsável funcional pelo acompanhamento, enquanto a aprovação de prioridades e a aceitação formal caberão à autoridade competente, conforme os limites organizacionais definidos pela AeroLog.</w:t>
      </w:r>
    </w:p>
    <w:tbl>
      <w:tblPr>
        <w:tblStyle w:val="Table10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5"/>
        <w:gridCol w:w="6240"/>
        <w:tblGridChange w:id="0">
          <w:tblGrid>
            <w:gridCol w:w="2655"/>
            <w:gridCol w:w="624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d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Função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d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Responsabilidade na gestão de riscos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Alta Administração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Aprovar prioridades, recursos e planos de tratamento; decidir sobre aceitação formal de riscos dentro de sua competência; acompanhar riscos críticos e pendências relevantes.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Equipe de TI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Manter o registro técnico dos riscos em conjunto com os gestores; propor e executar controles autorizados; monitorar alertas e registros; reunir evidências; comunicar incidentes e mudanças que possam alterar a avaliação.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Responsáveis pelas áreas ou sistemas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Atuar como donos funcionais dos riscos relacionados aos seus processos; validar impactos operacionais; aprovar necessidades de acesso; acompanhar prazos e eficácia das medidas; informar mudanças e incidentes.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Responsáveis pelos contratos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Garantir que requisitos de segurança sejam incluídos nos contratos aplicáveis; acompanhar fornecedores; comunicar mudanças de escopo, profissionais, acessos ou encerramento contratual à TI.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Equipes técnicas de operações aéreas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Avaliar, dentro de suas competências, intervenções em sistemas legados, críticos e embarcados; validar riscos à segurança operacional; participar de testes e aprovar condições técnicas de retorno à operação.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Colaboradores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Cumprir a PSI, proteger credenciais e informações, utilizar sistemas apenas para fins autorizados e comunicar imediatamente suspeitas ou ocorrências pelos canais definidos.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Fornecedores e prestadores de serviço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Cumprir os requisitos contratuais e a PSI aplicável; utilizar somente acessos autorizados; manter credenciais protegidas; registrar e comunicar suspeitas de comprometimento e colaborar na investigação.</w:t>
            </w:r>
          </w:p>
        </w:tc>
      </w:tr>
    </w:tbl>
    <w:p w:rsidR="00000000" w:rsidDel="00000000" w:rsidP="00000000" w:rsidRDefault="00000000" w:rsidRPr="00000000" w14:paraId="0000012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6. Monitoramento e Revisão</w:t>
      </w:r>
    </w:p>
    <w:p w:rsidR="00000000" w:rsidDel="00000000" w:rsidP="00000000" w:rsidRDefault="00000000" w:rsidRPr="00000000" w14:paraId="0000012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color w:val="404040"/>
        </w:rPr>
      </w:pPr>
      <w:r>
        <w:rPr>
          <w:rFonts w:ascii="Arial" w:hAnsi="Arial"/>
          <w:sz w:val="21"/>
        </w:rPr>
        <w:t>Os riscos e seus tratamentos serão monitorados continuamente e formalmente revisados, no mínimo, a cada trimestre. A revisão também deverá ocorrer após incidentes relevantes, mudanças em sistemas ou fornecedores, alterações contratuais, mudanças regulatórias e resultados de testes ou exercícios de continuidade que indiquem falhas. A revisão trimestral da PGR deve ser coordenada com os testes e revisões do PCN, cujo calendário inclui simulação de mesa semestral, teste de comunicação trimestral e revisão após eventos ou mudanças relevantes, além de revisão anual.</w:t>
      </w:r>
    </w:p>
    <w:tbl>
      <w:tblPr>
        <w:tblStyle w:val="Table1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5"/>
        <w:gridCol w:w="2610"/>
        <w:gridCol w:w="3750"/>
        <w:gridCol w:w="1890"/>
        <w:tblGridChange w:id="0">
          <w:tblGrid>
            <w:gridCol w:w="645"/>
            <w:gridCol w:w="2610"/>
            <w:gridCol w:w="3750"/>
            <w:gridCol w:w="189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d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ID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d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Situação da medida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d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Evidência / pendência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d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Próxima revisão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R01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Planejada — validar implantação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Solicitar evidências de proteção anti-DDoS, monitoramento e teste de continuidade; confirmar estratégia C01/C04 conforme o PCN. Backup isolado não mitiga ataque ativo.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Trimestral e após ataque ou indisponibilidade relevante.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R02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Planejada — validar implantação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Reunir revisão de permissões, registros de emissão e evidências de análise de operações suspeitas.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Trimestral e após tentativa ou confirmação de fraude.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R03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Planejada — validar implantação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Verificar autorizações, MFA, logs de acesso remoto, cláusulas contratuais, revogação de acessos e integração com C03/C04; coordenar C02 se atingir sistema embarcado.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Trimestral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e após mudança ou incidente de fornecedor.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R04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Planejada — validar implantação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Solicitar avaliação dos sistemas legados, plano de atualização/substituição e evidências de continuidade operacional conforme seção 4 do PCN; confirmar dependências sem presumi-las.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Trimestral e após falha, mudança técnica ou teste com resultado insatisfatório.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R05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Planejada — validar implantação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Reunir registros de autorização de alterações, verificação de integridade e avaliação técnica; conferir gatilhos de C02/C04 e evidências de liberação para retorno.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Trimestral e após alteração, anomalia ou incidente.</w:t>
            </w:r>
          </w:p>
        </w:tc>
      </w:tr>
    </w:tbl>
    <w:p w:rsidR="00000000" w:rsidDel="00000000" w:rsidP="00000000" w:rsidRDefault="00000000" w:rsidRPr="00000000" w14:paraId="0000015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Perguntas para revisão: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A medida foi executada? Há evidência de que funciona? O risco mudou? Houve incidente ou teste que revelou uma falha? A PSI e o PCN precisam ser atualizados?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/>
          <w:sz w:val="21"/>
        </w:rPr>
        <w:t>Os registros de monitoramento devem identificar o risco, a medida avaliada, a evidência encontrada, a decisão tomada, a função responsável e a data da revisão.</w:t>
      </w:r>
    </w:p>
    <w:p>
      <w:pPr>
        <w:pStyle w:val="Heading1"/>
        <w:spacing w:before="0" w:after="20"/>
      </w:pPr>
      <w:r>
        <w:t>Referências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2.000000000000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Calibri" w:eastAsia="Calibri" w:hAnsi="Arial"/>
          <w:b w:val="0"/>
          <w:bCs w:val="0"/>
          <w:i w:val="0"/>
          <w:iCs w:val="0"/>
          <w:smallCaps w:val="0"/>
          <w:strike w:val="0"/>
          <w:color w:val="404040"/>
          <w:sz w:val="18"/>
          <w:szCs w:val="20"/>
          <w:u w:val="none"/>
          <w:shd w:fill="auto" w:val="clear"/>
          <w:vertAlign w:val="baseline"/>
          <w:rtl w:val="0"/>
        </w:rPr>
        <w:t xml:space="preserve">Fontes externas: As referências abaixo apoiam os critérios de avaliação, tratamento, responsabilidades e monitoramento adotados nesta política.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2.000000000000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234e70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Kit 2 — Gestão de Riscos de Segurança da Informação</w:t>
        </w:r>
      </w:hyperlink>
      <w:r w:rsidDel="00000000" w:rsidR="00000000" w:rsidRPr="00000000">
        <w:rPr>
          <w:rFonts w:ascii="Arial" w:hAnsi="Arial"/>
          <w:sz w:val="18"/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2.000000000000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</w:rPr>
      </w:pPr>
      <w:r>
        <w:rPr>
          <w:rFonts w:ascii="Arial" w:hAnsi="Arial"/>
          <w:sz w:val="18"/>
        </w:rPr>
        <w:t>SEST / Ministério do Planejamento / UnB, 2018. Referência para registro e tratamento de riscos.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2.000000000000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234e70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Aena — Política de control y gestión de riesgos</w:t>
        </w:r>
      </w:hyperlink>
      <w:r w:rsidDel="00000000" w:rsidR="00000000" w:rsidRPr="00000000">
        <w:rPr>
          <w:rFonts w:ascii="Arial" w:hAnsi="Arial"/>
          <w:sz w:val="18"/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2.000000000000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</w:rPr>
      </w:pPr>
      <w:r>
        <w:rPr>
          <w:rFonts w:ascii="Arial" w:hAnsi="Arial"/>
          <w:sz w:val="18"/>
        </w:rPr>
        <w:t>Aprovada em 26/05/2026. Referência para avaliação, tratamento e acompanhamento de riscos.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2.000000000000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234e70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GOL — Política de Segurança da Informação para Terceiros</w:t>
        </w:r>
      </w:hyperlink>
      <w:r w:rsidDel="00000000" w:rsidR="00000000" w:rsidRPr="00000000">
        <w:rPr>
          <w:rFonts w:ascii="Arial" w:hAnsi="Arial"/>
          <w:sz w:val="18"/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2.000000000000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</w:rPr>
      </w:pPr>
      <w:r>
        <w:rPr>
          <w:rFonts w:ascii="Arial" w:hAnsi="Arial"/>
          <w:sz w:val="18"/>
        </w:rPr>
        <w:t>Revisão 01, 12/06/2025. Referência para fornecedores, acessos, registros, backup e continuidade.</w:t>
      </w:r>
    </w:p>
    <w:sectPr>
      <w:headerReference r:id="rId16" w:type="default"/>
      <w:footerReference r:id="rId17" w:type="default"/>
      <w:type w:val="nextPage"/>
      <w:pgSz w:h="16838" w:w="11906" w:orient="portrait"/>
      <w:pgMar w:bottom="1020" w:top="1020" w:left="1134" w:right="1134" w:header="397" w:footer="45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4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5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6">
    <w:pPr>
      <w:rPr/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7">
    <w:pPr>
      <w:jc w:val="right"/>
      <w:rPr/>
    </w:pPr>
    <w:r w:rsidDel="00000000" w:rsidR="00000000" w:rsidRPr="00000000">
      <w:rPr>
        <w:sz w:val="16"/>
        <w:szCs w:val="16"/>
        <w:rtl w:val="0"/>
      </w:rPr>
      <w:t xml:space="preserve">AeroLog | PGR | Uso interno |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1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2">
    <w:pPr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pt_BR"/>
      </w:rPr>
    </w:rPrDefault>
    <w:pPrDefault>
      <w:pPr>
        <w:spacing w:after="100" w:line="25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1"/>
      <w:spacing w:after="140" w:before="200" w:line="252.00000000000003" w:lineRule="auto"/>
      <w:ind w:left="0" w:right="0" w:firstLine="0"/>
    </w:pPr>
    <w:rPr>
      <w:rFonts w:ascii="Calibri" w:cs="Calibri" w:eastAsia="Calibri" w:hAnsi="Calibri"/>
      <w:b w:val="1"/>
      <w:bCs w:val="1"/>
      <w:i w:val="0"/>
      <w:iCs w:val="0"/>
      <w:color w:val="000000"/>
      <w:sz w:val="30"/>
      <w:szCs w:val="30"/>
    </w:rPr>
  </w:style>
  <w:style w:type="paragraph" w:styleId="Heading2">
    <w:name w:val="heading 2"/>
    <w:basedOn w:val="Normal"/>
    <w:next w:val="Normal"/>
    <w:pPr>
      <w:keepNext w:val="1"/>
      <w:widowControl w:val="1"/>
      <w:spacing w:after="140" w:before="200" w:line="252.00000000000003" w:lineRule="auto"/>
      <w:ind w:left="0" w:right="0" w:firstLine="0"/>
    </w:pPr>
    <w:rPr>
      <w:rFonts w:ascii="Calibri" w:cs="Calibri" w:eastAsia="Calibri" w:hAnsi="Calibri"/>
      <w:b w:val="1"/>
      <w:bCs w:val="1"/>
      <w:i w:val="0"/>
      <w:iCs w:val="0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widowControl w:val="1"/>
      <w:spacing w:after="100" w:before="0" w:line="252.00000000000003" w:lineRule="auto"/>
      <w:ind w:left="0" w:right="0" w:firstLine="0"/>
    </w:pPr>
    <w:rPr>
      <w:rFonts w:ascii="Calibri" w:cs="Calibri" w:eastAsia="Calibri" w:hAnsi="Calibri"/>
      <w:b w:val="1"/>
      <w:bCs w:val="1"/>
      <w:i w:val="0"/>
      <w:iCs w:val="0"/>
      <w:color w:val="000000"/>
      <w:sz w:val="40"/>
      <w:szCs w:val="40"/>
    </w:rPr>
  </w:style>
  <w:style w:type="paragraph" w:styleId="Subtitle">
    <w:name w:val="Subtitle"/>
    <w:basedOn w:val="Normal"/>
    <w:next w:val="Normal"/>
    <w:pPr>
      <w:keepNext w:val="1"/>
      <w:widowControl w:val="1"/>
      <w:spacing w:after="100" w:before="0" w:line="252.00000000000003" w:lineRule="auto"/>
      <w:ind w:left="0" w:right="0" w:firstLine="0"/>
    </w:pPr>
    <w:rPr>
      <w:rFonts w:ascii="Calibri" w:cs="Calibri" w:eastAsia="Calibri" w:hAnsi="Calibri"/>
      <w:b w:val="0"/>
      <w:bCs w:val="0"/>
      <w:i w:val="0"/>
      <w:iCs w:val="0"/>
      <w:color w:val="000000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7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8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9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0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3" Type="http://schemas.openxmlformats.org/officeDocument/2006/relationships/hyperlink" Target="https://www.gov.br/gestao/pt-br/assuntos/estatais/central-de-conteudo/kits-governanca-ti/kit-2/gestao-de-riscos-de-seguranca-da-informacao/kit-2-governanca-tic-artefato-gestao-de-riscos-de-seguranca-da-informacao.pdf" TargetMode="Externa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15" Type="http://schemas.openxmlformats.org/officeDocument/2006/relationships/hyperlink" Target="https://static.voegol.com.br/voegol/2025-06-27/PO-DTI-SC-003-Pol%C3%ADtica%20de%20Seguran%C3%A7a%20da%20Informa%C3%A7%C3%A3o%20para%20Terceiro_r01.pdf" TargetMode="External"/><Relationship Id="rId14" Type="http://schemas.openxmlformats.org/officeDocument/2006/relationships/hyperlink" Target="https://www.aena.es/sites/Satellite?blobcol=urldata&amp;blobkey=id&amp;blobtable=MungoBlobs&amp;blobwhere=1576874115175&amp;ssbinary=true" TargetMode="External"/><Relationship Id="rId17" Type="http://schemas.openxmlformats.org/officeDocument/2006/relationships/footer" Target="footer4.xml"/><Relationship Id="rId16" Type="http://schemas.openxmlformats.org/officeDocument/2006/relationships/header" Target="header4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2026-08-20T00:00:00Z</vt:lpwstr>
  </property>
  <property fmtid="{D5CDD505-2E9C-101B-9397-08002B2CF9AE}" pid="4" name="Creator">
    <vt:lpwstr>Microsoft Word</vt:lpwstr>
  </property>
  <property fmtid="{D5CDD505-2E9C-101B-9397-08002B2CF9AE}" pid="5" name="LastSaved">
    <vt:lpwstr>2026-08-20T00:00:00Z</vt:lpwstr>
  </property>
</Properties>
</file>