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440000" cy="428108"/>
            <wp:effectExtent b="0" l="0" r="0" t="0"/>
            <wp:docPr descr="Logotipo UNIPAM do documento acadêmico de referência" id="1" name="image1.jpg"/>
            <a:graphic>
              <a:graphicData uri="http://schemas.openxmlformats.org/drawingml/2006/picture">
                <pic:pic>
                  <pic:nvPicPr>
                    <pic:cNvPr descr="Logotipo UNIPAM do documento acadêmico de referênci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Auditoria e Segurança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Turma / período: </w:t>
      </w:r>
      <w:r w:rsidDel="00000000" w:rsidR="00000000" w:rsidRPr="00000000">
        <w:rPr>
          <w:rtl w:val="0"/>
        </w:rPr>
        <w:t xml:space="preserve">6º B</w:t>
      </w:r>
    </w:p>
    <w:p w:rsidR="00000000" w:rsidDel="00000000" w:rsidP="00000000" w:rsidRDefault="00000000" w:rsidRPr="00000000" w14:paraId="00000006">
      <w:pPr>
        <w:spacing w:after="160" w:before="6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180" w:before="1160" w:lineRule="auto"/>
        <w:jc w:val="center"/>
        <w:rPr/>
      </w:pPr>
      <w:r w:rsidDel="00000000" w:rsidR="00000000" w:rsidRPr="00000000">
        <w:rPr>
          <w:rtl w:val="0"/>
        </w:rPr>
        <w:t xml:space="preserve">Política de Gestão de Riscos</w:t>
      </w:r>
    </w:p>
    <w:p w:rsidR="00000000" w:rsidDel="00000000" w:rsidP="00000000" w:rsidRDefault="00000000" w:rsidRPr="00000000" w14:paraId="00000009">
      <w:pPr>
        <w:pStyle w:val="Subtitle"/>
        <w:spacing w:after="140" w:before="0" w:lineRule="auto"/>
        <w:jc w:val="center"/>
        <w:rPr/>
      </w:pPr>
      <w:r w:rsidDel="00000000" w:rsidR="00000000" w:rsidRPr="00000000">
        <w:rPr>
          <w:rtl w:val="0"/>
        </w:rPr>
        <w:t xml:space="preserve">AeroLog Transportes Aéreos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PGR — Gestão de riscos de segurança da informação</w:t>
      </w:r>
    </w:p>
    <w:p w:rsidR="00000000" w:rsidDel="00000000" w:rsidP="00000000" w:rsidRDefault="00000000" w:rsidRPr="00000000" w14:paraId="0000000B">
      <w:pPr>
        <w:spacing w:after="80" w:before="24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Patos de Minas -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spacing w:after="0" w:before="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Arthur • Isadora • Caio</w:t>
        <w:br w:type="textWrapping"/>
        <w:t xml:space="preserve">Higor • Sabrina • Gustavo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180" w:before="1700" w:lineRule="auto"/>
        <w:jc w:val="center"/>
        <w:rPr/>
      </w:pPr>
      <w:r w:rsidDel="00000000" w:rsidR="00000000" w:rsidRPr="00000000">
        <w:rPr>
          <w:rtl w:val="0"/>
        </w:rPr>
        <w:t xml:space="preserve">Política de Gestão de Riscos</w:t>
      </w:r>
    </w:p>
    <w:p w:rsidR="00000000" w:rsidDel="00000000" w:rsidP="00000000" w:rsidRDefault="00000000" w:rsidRPr="00000000" w14:paraId="0000000F">
      <w:pPr>
        <w:pStyle w:val="Subtitle"/>
        <w:spacing w:after="800" w:before="0" w:lineRule="auto"/>
        <w:jc w:val="center"/>
        <w:rPr/>
      </w:pPr>
      <w:r w:rsidDel="00000000" w:rsidR="00000000" w:rsidRPr="00000000">
        <w:rPr>
          <w:rtl w:val="0"/>
        </w:rPr>
        <w:t xml:space="preserve">AeroLog Transportes Aéreos</w:t>
      </w:r>
    </w:p>
    <w:p w:rsidR="00000000" w:rsidDel="00000000" w:rsidP="00000000" w:rsidRDefault="00000000" w:rsidRPr="00000000" w14:paraId="00000010">
      <w:pPr>
        <w:spacing w:after="240" w:lineRule="auto"/>
        <w:ind w:left="4252" w:firstLine="0"/>
        <w:rPr/>
      </w:pPr>
      <w:r w:rsidDel="00000000" w:rsidR="00000000" w:rsidRPr="00000000">
        <w:rPr>
          <w:rtl w:val="0"/>
        </w:rPr>
        <w:t xml:space="preserve">Documento interno para identificação, avaliação, tratamento e monitoramento dos riscos de segurança da informação da AeroLog Transportes Aéreos.</w:t>
      </w:r>
    </w:p>
    <w:p w:rsidR="00000000" w:rsidDel="00000000" w:rsidP="00000000" w:rsidRDefault="00000000" w:rsidRPr="00000000" w14:paraId="00000011">
      <w:pPr>
        <w:ind w:left="4252" w:firstLine="0"/>
        <w:rPr/>
      </w:pPr>
      <w:r w:rsidDel="00000000" w:rsidR="00000000" w:rsidRPr="00000000">
        <w:rPr>
          <w:rtl w:val="0"/>
        </w:rPr>
        <w:t xml:space="preserve">Classificação: Uso interno</w:t>
      </w:r>
    </w:p>
    <w:p w:rsidR="00000000" w:rsidDel="00000000" w:rsidP="00000000" w:rsidRDefault="00000000" w:rsidRPr="00000000" w14:paraId="00000012">
      <w:pPr>
        <w:ind w:left="4252" w:firstLine="0"/>
        <w:rPr/>
      </w:pPr>
      <w:r w:rsidDel="00000000" w:rsidR="00000000" w:rsidRPr="00000000">
        <w:rPr>
          <w:rtl w:val="0"/>
        </w:rPr>
        <w:t xml:space="preserve">Versão: 0.3</w:t>
      </w:r>
    </w:p>
    <w:p w:rsidR="00000000" w:rsidDel="00000000" w:rsidP="00000000" w:rsidRDefault="00000000" w:rsidRPr="00000000" w14:paraId="00000013">
      <w:pPr>
        <w:ind w:left="4252" w:firstLine="0"/>
        <w:rPr/>
      </w:pPr>
      <w:r w:rsidDel="00000000" w:rsidR="00000000" w:rsidRPr="00000000">
        <w:rPr>
          <w:rtl w:val="0"/>
        </w:rPr>
        <w:t xml:space="preserve">Data de emissão: 18/10/2026</w:t>
      </w:r>
    </w:p>
    <w:p w:rsidR="00000000" w:rsidDel="00000000" w:rsidP="00000000" w:rsidRDefault="00000000" w:rsidRPr="00000000" w14:paraId="00000014">
      <w:pPr>
        <w:spacing w:after="120" w:before="600" w:lineRule="auto"/>
        <w:jc w:val="center"/>
        <w:rPr/>
      </w:pPr>
      <w:r w:rsidDel="00000000" w:rsidR="00000000" w:rsidRPr="00000000">
        <w:rPr>
          <w:rtl w:val="0"/>
        </w:rPr>
        <w:t xml:space="preserve">Responsável pela elaboração: Gestão de Segurança da Informação</w:t>
      </w:r>
    </w:p>
    <w:p w:rsidR="00000000" w:rsidDel="00000000" w:rsidP="00000000" w:rsidRDefault="00000000" w:rsidRPr="00000000" w14:paraId="00000015">
      <w:pPr>
        <w:spacing w:after="120" w:before="0" w:lineRule="auto"/>
        <w:jc w:val="center"/>
        <w:rPr/>
      </w:pPr>
      <w:r w:rsidDel="00000000" w:rsidR="00000000" w:rsidRPr="00000000">
        <w:rPr>
          <w:rtl w:val="0"/>
        </w:rPr>
        <w:t xml:space="preserve">Aprovação: Alta Administração</w:t>
      </w:r>
    </w:p>
    <w:p w:rsidR="00000000" w:rsidDel="00000000" w:rsidP="00000000" w:rsidRDefault="00000000" w:rsidRPr="00000000" w14:paraId="00000016">
      <w:pPr>
        <w:spacing w:after="80" w:before="1960" w:lineRule="auto"/>
        <w:jc w:val="center"/>
        <w:rPr/>
      </w:pPr>
      <w:r w:rsidDel="00000000" w:rsidR="00000000" w:rsidRPr="00000000">
        <w:rPr>
          <w:rtl w:val="0"/>
        </w:rPr>
        <w:t xml:space="preserve">Uso interno</w:t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020" w:top="1020" w:left="1134" w:right="1134" w:header="397" w:footer="454"/>
          <w:pgNumType w:start="1"/>
        </w:sect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Objetivo e Escopo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 Política de Gestão de Riscos estabelece os critérios para identificar, analisar e avaliar os riscos de segurança da informação da AeroLog Transportes Aéreos. A avaliação busca apoiar decisões proporcionais à probabilidade de ocorrência e à gravidade das consequências para as operações da empresa.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escopo abrange o sistema de reservas, a emissão de passagens por meio do GDS, os dados dos passageiros, os 50 servidores locais, os sistemas legados de controle de voo, os sistemas críticos embarcados nas aeronaves e os acessos utilizados no suporte internacional aos softwares de navegação. Também são considerados os processos de transporte de cargas e passageiros que dependem desses ativos.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análise contempla cinco cenários prioritários da AeroLog: ataques de negação de serviço contra o sistema de reservas, fraude na emissão de passagens, comprometimento relacionado ao suporte externo, falha de sistemas legados de controle de voo e comprometimento de sistemas críticos embarcados.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Base da classificação. </w:t>
      </w:r>
      <w:r w:rsidDel="00000000" w:rsidR="00000000" w:rsidRPr="00000000">
        <w:rPr>
          <w:rtl w:val="0"/>
        </w:rPr>
        <w:t xml:space="preserve">As classificações são qualitativas e utilizam os registros e as evidências disponíveis. Frequência de incidentes, perdas financeiras, duração de indisponibilidades e controles existentes devem ser incorporados às revisões periódicas sempre que novos dados forem produzidos. Uma medida de segurança somente será considerada implantada quando houver evidência verificável de sua execução.</w:t>
      </w:r>
    </w:p>
    <w:p w:rsidR="00000000" w:rsidDel="00000000" w:rsidP="00000000" w:rsidRDefault="00000000" w:rsidRPr="00000000" w14:paraId="0000001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Metodologia de Avaliação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avaliação utiliza uma abordagem qualitativa. Cada risco é descrito pelo evento indesejado e pelo ativo ou processo afetado, recebe uma classificação de probabilidade e impacto e, em seguida, é posicionado na matriz de risco. A justificativa registra as informações disponíveis sobre a operação da AeroLog e explicita as incertezas que influenciam a classificação.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escalas padronizam a avaliação dos riscos e permitem comparar cenários distintos. Os níveis atribuídos devem ser revistos quando houver novos registros de incidentes, mudanças nos ativos ou evidências sobre a eficácia dos controles.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Escala de probabilidade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probabilidade expressa a possibilidade de ocorrência do risco nas condições operacionais e tecnológicas da AeroLog. A classificação considera ameaças registradas, exposições conhecidas e a quantidade de evidência disponível.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 de 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Critério de 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evento é plausível, mas não há registro disponível de ocorrência anterior nem exposição específica que indique repetição frequente. A falta de histórico, sozinha, não basta para classificar um risco como baixo.</w:t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Existem condições, dependências ou características tecnológicas que podem permitir o evento, mas não há evidência suficiente para considerá-lo recorrente ou iminente.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ameaça ou tentativa já foi registrada, ou a exposição identificada sustenta uma possibilidade relevante de nova ocorrência.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Escala de impacto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impacto representa a gravidade das consequências caso o evento ocorra. Para cada risco, considera-se a consequência mais grave sustentada pelas informações disponíveis sobre operações, segurança operacional, dados pessoais e efeitos financeiros ou reputacionais.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65"/>
        <w:gridCol w:w="6973"/>
        <w:tblGridChange w:id="0">
          <w:tblGrid>
            <w:gridCol w:w="2665"/>
            <w:gridCol w:w="6973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Critério de 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produz efeito localizado, de curta duração e com recuperação simples, sem comprometer um processo essencial, dados relevantes ou a segurança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prejudica um processo ou grupo de usuários de forma relevante, mas permanece restrito e pode ser recuperado sem interrupção grave das operações essenciais.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pode causar interrupção expressiva, fraude relevante, exposição de dados, perda financeira significativa ou dano importante à confiança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evento pode comprometer gravemente uma operação essencial, a segurança operacional, um sistema crítico ou a continuidade de serviços indispensáveis.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1"/>
        <w:jc w:val="left"/>
        <w:rPr/>
      </w:pPr>
      <w:r w:rsidDel="00000000" w:rsidR="00000000" w:rsidRPr="00000000">
        <w:rPr>
          <w:rtl w:val="0"/>
        </w:rPr>
        <w:t xml:space="preserve">Matriz de classificação de riscos</w:t>
      </w:r>
    </w:p>
    <w:p w:rsidR="00000000" w:rsidDel="00000000" w:rsidP="00000000" w:rsidRDefault="00000000" w:rsidRPr="00000000" w14:paraId="00000037">
      <w:pPr>
        <w:keepNext w:val="1"/>
        <w:rPr/>
      </w:pPr>
      <w:r w:rsidDel="00000000" w:rsidR="00000000" w:rsidRPr="00000000">
        <w:rPr>
          <w:rtl w:val="0"/>
        </w:rPr>
        <w:t xml:space="preserve">A matriz classifica cada risco pelo cruzamento entre sua probabilidade estimada e seu impacto potencial. O resultado é um nível baixo, médio, alto ou crítico, utilizado para ordenar a análise e o tratamento. A posição na matriz deve sempre ser acompanhada da justificativa do risco, pois o cálculo não substitui a avaliação do contexto.</w:t>
      </w:r>
    </w:p>
    <w:tbl>
      <w:tblPr>
        <w:tblStyle w:val="Table3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835"/>
        <w:gridCol w:w="1701"/>
        <w:gridCol w:w="1701"/>
        <w:gridCol w:w="1701"/>
        <w:gridCol w:w="1701"/>
        <w:tblGridChange w:id="0">
          <w:tblGrid>
            <w:gridCol w:w="2835"/>
            <w:gridCol w:w="1701"/>
            <w:gridCol w:w="1701"/>
            <w:gridCol w:w="1701"/>
            <w:gridCol w:w="1701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Probabilidade /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Critérios de priorização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prioridade aumenta conforme o nível indicado pela matriz. Quando dois riscos tiverem o mesmo nível, terá precedência aquele com maior impacto. Persistindo o empate, devem ser considerados a abrangência dos processos afetados e o potencial de atingir operações essenciais.</w:t>
      </w:r>
    </w:p>
    <w:p w:rsidR="00000000" w:rsidDel="00000000" w:rsidP="00000000" w:rsidRDefault="00000000" w:rsidRPr="00000000" w14:paraId="0000004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Requer acompanhamento para confirmar que a exposição permanece limitada e que mudanças no ambiente não aumentaram sua gravidade.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Manter controles básicos, registrar ocorrências e revisar periodicamente os fatores de probabilidade e impacto.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Deve entrar no planejamento de tratamento porque pode causar prejuízo relevante ou aumentar de nível se a exposição mudar.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Reduzir as condições que permitem o evento, definir um responsável e acompanhar evidências de funcionamento dos controles adotados.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Exige tratamento em curto prazo porque combina exposição relevante com consequências expressivas, ou apresenta impacto crítico mesmo com menor probabilidade.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Aplicar controles preventivos e detectivos adequados ao evento, restringir acessos quando aplicável e reforçar o monitoramento do ativo ou processo afetado.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Exige decisão imediata porque pode interromper serviços essenciais, comprometer a segurança operacional ou produzir danos graves.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Mitigação inicial: </w:t>
      </w:r>
      <w:r w:rsidDel="00000000" w:rsidR="00000000" w:rsidRPr="00000000">
        <w:rPr>
          <w:rtl w:val="0"/>
        </w:rPr>
        <w:t xml:space="preserve">Reduzir a exposição sem demora, adotar barreiras adicionais, preparar resposta ao evento e acompanhar a execução das medidas pela Alta Administração.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classificações representam o risco inerente ao cenário descrito. Controles apenas propostos não reduzem o nível atual; uma avaliação residual somente poderá ser realizada depois que a medida correspondente estiver implantada e verificada.</w:t>
      </w:r>
    </w:p>
    <w:p w:rsidR="00000000" w:rsidDel="00000000" w:rsidP="00000000" w:rsidRDefault="00000000" w:rsidRPr="00000000" w14:paraId="0000005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Identificação e Avaliação dos Riscos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registro inicial contém os cinco riscos prioritários deste escopo. Cada item mantém um identificador único, descreve o evento analisado e indica o ativo ou processo diretamente afetado. As classificações seguem os critérios definidos na seção anterior.</w:t>
      </w:r>
    </w:p>
    <w:tbl>
      <w:tblPr>
        <w:tblStyle w:val="Table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52"/>
        <w:gridCol w:w="3005"/>
        <w:gridCol w:w="2381"/>
        <w:gridCol w:w="1134"/>
        <w:gridCol w:w="1247"/>
        <w:gridCol w:w="1219"/>
        <w:tblGridChange w:id="0">
          <w:tblGrid>
            <w:gridCol w:w="652"/>
            <w:gridCol w:w="3005"/>
            <w:gridCol w:w="2381"/>
            <w:gridCol w:w="1134"/>
            <w:gridCol w:w="1247"/>
            <w:gridCol w:w="1219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Ativo /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DDoS contra o sistema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Fraude na emissão de passagens via GDS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Emissão de passagens / GDS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Comprometimento de sistemas por suporte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Acesso de fornecedores / sistemas de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Falha de sistemas legados de controle de voo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Controle de voo / operações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Comprometimento de sistema crítico embarcado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Sistemas embarcados / operações de voo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Justificativas das avaliações</w:t>
      </w:r>
    </w:p>
    <w:tbl>
      <w:tblPr>
        <w:tblStyle w:val="Table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80"/>
        <w:gridCol w:w="4649"/>
        <w:gridCol w:w="4309"/>
        <w:tblGridChange w:id="0">
          <w:tblGrid>
            <w:gridCol w:w="680"/>
            <w:gridCol w:w="4649"/>
            <w:gridCol w:w="4309"/>
          </w:tblGrid>
        </w:tblGridChange>
      </w:tblGrid>
      <w:tr>
        <w:trPr>
          <w:cantSplit w:val="1"/>
          <w:tblHeader w:val="1"/>
        </w:trPr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 da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d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 reservas é alvo de ataques de negação de serviço, com maior exposição durante períodos de alta demanda.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alta porque a ameaça já foi observada. Impacto alto porque a indisponibilidade pode impedir consultas, reservas e emissões, afetando passageiros, atendimento e receita. A combinação resulta em risco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Foram registradas tentativas de fraude na emissão de passagens por meio do GDS.</w:t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alta devido à existência de tentativas relatadas. Impacto alto pelos possíveis prejuízos financeiros, contestações, uso indevido do processo de emissão e dano à confiança dos clientes. O nível resultante é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 AeroLog mantém contratos internacionais de suporte para softwares de navegação, o que cria uma relação de acesso e dependência externa.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Probabilidade média porque o vetor é plausível, mas não há registro disponível de incidente nem de falha específica de controle. O impacto é alto porque um acesso externo comprometido pode afetar sistemas relevantes para a operação. O nível resultante é alto.</w:t>
            </w:r>
          </w:p>
        </w:tc>
      </w:tr>
      <w:tr>
        <w:trPr>
          <w:cantSplit w:val="1"/>
          <w:tblHeader w:val="0"/>
        </w:trPr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sistemas legados de controle de voo integram o escopo da avaliação por sua relevância para a operação aérea.</w:t>
            </w:r>
          </w:p>
        </w:tc>
        <w:tc>
          <w:tcPr>
            <w:shd w:fill="f7f8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média porque a condição legada indica exposição plausível, embora não exista histórico de falhas. O impacto é crítico pelo potencial de comprometer o suporte às operações de voo e a segurança operacional. O nível é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AeroLog opera sistemas críticos embarcados cuja integridade e disponibilidade são essenciais às operações de voo.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Probabilidade baixa porque não há incidente relatado nem detalhe que comprove exposição frequente. O impacto é crítico porque a perda de integridade ou disponibilidade de um sistema embarcado pode afetar operações de voo e segurança operacional. O nível resultante é alto.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Distinção entre riscos relacionados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Os riscos podem compartilhar ativos, causas ou consequências, mas cada identificador representa um evento principal diferente. A separação abaixo evita duplicidade e preserva o alcance usado na avaliação.</w:t>
      </w:r>
    </w:p>
    <w:p w:rsidR="00000000" w:rsidDel="00000000" w:rsidP="00000000" w:rsidRDefault="00000000" w:rsidRPr="00000000" w14:paraId="0000009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R01 Ataque DDoS ao sistema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 R01 trata da indisponibilidade causada por grande volume de requisições maliciosas contra o sistema de reservas. Ele se diferencia do R02 porque o objetivo do evento é impedir ou degradar o acesso ao serviço, enquanto a fraude pode ocorrer mesmo quando o sistema continua disponível.</w:t>
      </w:r>
    </w:p>
    <w:p w:rsidR="00000000" w:rsidDel="00000000" w:rsidP="00000000" w:rsidRDefault="00000000" w:rsidRPr="00000000" w14:paraId="0000009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R02 Fraude na emissão de passagens via GDS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R02 trata da emissão indevida ou da manipulação fraudulenta de passagens por meio do GDS. Seu foco é a integridade e a legitimidade da transação. Diferentemente do R01, não depende de indisponibilidade; diferencia-se também dos riscos operacionais de voo porque afeta diretamente o processo comercial de emissão.</w:t>
      </w:r>
    </w:p>
    <w:p w:rsidR="00000000" w:rsidDel="00000000" w:rsidP="00000000" w:rsidRDefault="00000000" w:rsidRPr="00000000" w14:paraId="0000009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R03 Comprometimento por suporte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R03 descreve a origem do comprometimento no acesso ou na atividade de um fornecedor de suporte. Ele se distingue dos demais por representar um vetor relacionado a terceiros. Pode anteceder o R05 se esse acesso atingir um sistema embarcado, mas sua classificação permanece centrada no caminho de entrada e na dependência externa.</w:t>
      </w:r>
    </w:p>
    <w:p w:rsidR="00000000" w:rsidDel="00000000" w:rsidP="00000000" w:rsidRDefault="00000000" w:rsidRPr="00000000" w14:paraId="0000009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R04 Falha de sistemas legados de controle de voo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 R04 trata de falha técnica associada a sistemas legados de controle de voo, como limitações de manutenção, compatibilidade ou confiabilidade. Diferencia-se do R03 e do R05 porque não exige acesso externo nem comprometimento intencional. Também não foi presumida dependência entre esse sistema e o sistema de reservas.</w:t>
      </w:r>
    </w:p>
    <w:p w:rsidR="00000000" w:rsidDel="00000000" w:rsidP="00000000" w:rsidRDefault="00000000" w:rsidRPr="00000000" w14:paraId="000000A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R05 Comprometimento de sistema crítico embarcado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R05 descreve o ativo atingido e a perda de integridade ou disponibilidade de um sistema crítico embarcado. Ele se diferencia do R03, que identifica o suporte externo como vetor, e do R04, que trata de falha em sistema legado. Se um único incidente envolver R03 e R05, a causa e a consequência devem ser relacionadas sem contabilizar o mesmo dano duas vezes.</w:t>
      </w:r>
    </w:p>
    <w:p w:rsidR="00000000" w:rsidDel="00000000" w:rsidP="00000000" w:rsidRDefault="00000000" w:rsidRPr="00000000" w14:paraId="000000A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Tratamento dos Riscos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Os tratamentos abaixo estão vinculados aos riscos identificados na seção 3 e às diretrizes da Política de Segurança da Informação (PSI), considerando também as estratégias, os gatilhos de ativação e os critérios de recuperação descritos no Plano de Continuidade de Negócios (PCN). As medidas constituem propostas para a AeroLog e não devem ser consideradas controles já implantados. A execução depende de validação técnica, disponibilidade de recursos e alinhamento entre PSI, PGR e PCN.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6360"/>
        <w:gridCol w:w="1875"/>
        <w:tblGridChange w:id="0">
          <w:tblGrid>
            <w:gridCol w:w="660"/>
            <w:gridCol w:w="6360"/>
            <w:gridCol w:w="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Ponto de partida para o tratamento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PSI relacionada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proteção contra DDoS, acompanhamento da disponibilidade e estratégia de continuidade.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4.2, 4.6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controles de acesso, verificação de operações suspeitas e registros de emissão.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4.2 e 4.8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Propor autorização de suporte, acesso limitado, autenticação adequada, registros e requisitos contratuais.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4.1, 4.3, 4.4 e 4.7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 atualização ou substituição planejada e recuperação compatível com a operação.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4.3, 4.5 e 4.6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Propor controle de alterações, restrição de acesso, avaliação de integridade e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4.3, 4.5 e 4.7</w:t>
            </w:r>
          </w:p>
        </w:tc>
      </w:tr>
    </w:tbl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Plano de tratamento dos riscos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2160"/>
        <w:gridCol w:w="1935"/>
        <w:gridCol w:w="1830"/>
        <w:gridCol w:w="2355"/>
        <w:tblGridChange w:id="0">
          <w:tblGrid>
            <w:gridCol w:w="630"/>
            <w:gridCol w:w="2160"/>
            <w:gridCol w:w="1935"/>
            <w:gridCol w:w="1830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Estratégia e prioridade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Responsável funcional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Prazo / critério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Evidência de conclusão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Propor proteção anti-DDoS, monitoramento de disponibilidade e plano de resposta; alinhar continuidade e backup offline ao PCN.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TI; gestor do sistema de reservas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Imediato para definir resposta; implantação priorizada e validada por teste.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Configuração aprovada; registros de monitoramento; teste de resposta/continuidade documentado.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>
              <w:rPr>
                <w:rFonts w:ascii="Arial" w:hAnsi="Arial"/>
                <w:sz w:val="17"/>
              </w:rPr>
              <w:t>Mitigar — crítica; ação imediata. Restringir permissões de emissão, revisar acessos, monitorar operações suspeitas e proteger registros do GDS. Incluir capacitação periódica das equipes que operam o GDS para prevenção e comunicação de fraudes.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responsável pelo processo de emissão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Imediato para revisar acessos; controles implantados em curto prazo.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Revisão de permissões registrada; alertas e trilhas de auditoria verificáveis; teste de análise de operação suspeita.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e compartilhar contratualmente — alta. Exigir autorização individual, MFA, menor privilégio, acesso remoto limitado, registros e comunicação de incidentes por fornecedores.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responsável pelo contrato e pelo sistema de navegação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Antes de novo acesso ou renovação contratual; revisar acessos trimestralmente.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Autorizações e revisão de acessos registradas; logs de sessões; cláusulas contratuais e teste de revogação.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crítica; ação imediata. Avaliar tecnicamente os sistemas legados, priorizar correções seguras, planejar atualização/substituição e validar recuperação sem comprometer a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Avaliação prioritária imediata; plano de correção com etapas e validação técnica.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Inventário/avaliação documentados; plano aprovado; registros de mudança e teste de recuperação.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Mitigar — alta. Restringir acesso e alterações, verificar integridade, avaliar atualizações com as equipes competentes e preparar resposta técnica segura.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 e equipes técnicas de operações aéreas; fornecedor autorizado quando aplicável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Priorizar avaliação técnica e definir cronograma conforme criticidade e segurança operacional.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Autorizações e registros de alterações; evidência de verificação de integridade; teste ou relatório técnico aprovado.</w:t>
            </w:r>
          </w:p>
        </w:tc>
      </w:tr>
    </w:tbl>
    <w:p w:rsidR="00000000" w:rsidDel="00000000" w:rsidP="00000000" w:rsidRDefault="00000000" w:rsidRPr="00000000" w14:paraId="000000F0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7770"/>
        <w:tblGridChange w:id="0">
          <w:tblGrid>
            <w:gridCol w:w="1125"/>
            <w:gridCol w:w="77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Risco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Ligação inicial com o PCN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C01 para indisponibilidade relevante das reservas; C04 se houver impacto cibernético amplo/prolongado. Backup offline não substitui a mitigação DDoS.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Apuração e conciliação das transações; acionar contingência somente se a fraude provocar interrupção relevante. Não implica indisponibilidade automaticamente.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C03 para comprometimento por suporte externo; C04 se o impacto for amplo. Se atingir sistema embarcado, coordenar também C02/R05.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Seção 4 do PCN: continuidade operacional durante falha de sistemas legados de controle de voo. C01 somente se dependência de reservas for confirmada e justificada.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C02 para sistema crítico/embarcado; C04 quando o evento tiver impacto amplo. Conter com segurança e só retomar após validação técnica e liberação competente.</w:t>
            </w:r>
          </w:p>
        </w:tc>
      </w:tr>
    </w:tbl>
    <w:p w:rsidR="00000000" w:rsidDel="00000000" w:rsidP="00000000" w:rsidRDefault="00000000" w:rsidRPr="00000000" w14:paraId="000001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Orientações complementares de integração com o PCN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750"/>
        <w:tblGridChange w:id="0">
          <w:tblGrid>
            <w:gridCol w:w="2145"/>
            <w:gridCol w:w="67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a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Tema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d9ea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Diretriz de integração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 — Ataque DDoS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Combinar a mitigação do ataque com a recuperação dos dados. O backup, isoladamente, não restabelece a disponibilidade enquanto o ataque estiver ativo.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 e R05 — Incidentes técnicos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Conter o incidente preservando evidências e respeitando as autorizações técnicas e operacionais. A retomada deve ocorrer somente após validação técnica e liberação competente.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 — Falha de sistemas legados de controle de voo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continuidade operacional depende de informações atuais, íntegras e verificadas. Não presume dependência automática entre o sistema de controle de voo e o sistema de reservas.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Estratégia de backup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 PCN propõe cópias incrementais diárias, cópias completas semanais, ao menos uma cópia offline e testes de restauração.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Objetivos de recuperação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O PCN adota prioridades qualitativas. Caso sejam definidos RTO e RPO, os valores deverão ser aprovados em conjunto com as estratégias de continuidade e backup.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Validação dos controles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medidas descritas são propostas a serem validadas. Não devem ser tratadas como implantadas ou eficazes até que existam evidências verificáveis.</w:t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Responsabilidades</w:t>
      </w:r>
    </w:p>
    <w:p w:rsidR="00000000" w:rsidDel="00000000" w:rsidP="00000000" w:rsidRDefault="00000000" w:rsidRPr="00000000" w14:paraId="000001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A gestão dos riscos é compartilhada entre a Alta Administração, a equipe de TI, os responsáveis pelas áreas ou sistemas, as equipes técnicas de operações aéreas e os fornecedores. Cada risco deverá ter um responsável funcional pelo acompanhamento, enquanto a aprovação de prioridades e a aceitação formal caberão à autoridade competente, conforme os limites organizacionais definidos pela AeroLog.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240"/>
        <w:tblGridChange w:id="0">
          <w:tblGrid>
            <w:gridCol w:w="2655"/>
            <w:gridCol w:w="62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Função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Responsabilidade na gestão de riscos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 Administração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Aprovar prioridades, recursos e planos de tratamento; decidir sobre aceitação formal de riscos dentro de sua competência; acompanhar riscos críticos e pendências relevantes.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 de TI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Manter o registro técnico dos riscos em conjunto com os gestores; propor e executar controles autorizados; monitorar alertas e registros; reunir evidências; comunicar incidentes e mudanças que possam alterar a avaliação.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Responsáveis pelas áreas ou sistemas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Atuar como donos funcionais dos riscos relacionados aos seus processos; validar impactos operacionais; aprovar necessidades de acesso; acompanhar prazos e eficácia das medidas; informar mudanças e incidentes.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Responsáveis pelos contratos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Garantir que requisitos de segurança sejam incluídos nos contratos aplicáveis; acompanhar fornecedores; comunicar mudanças de escopo, profissionais, acessos ou encerramento contratual à TI.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Equipes técnicas de operações aéreas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Avaliar, dentro de suas competências, intervenções em sistemas legados, críticos e embarcados; validar riscos à segurança operacional; participar de testes e aprovar condições técnicas de retorno à operação.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Colaboradores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Cumprir a PSI, proteger credenciais e informações, utilizar sistemas apenas para fins autorizados e comunicar imediatamente suspeitas ou ocorrências pelos canais definidos.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Fornecedores e prestadores de serviço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Cumprir os requisitos contratuais e a PSI aplicável; utilizar somente acessos autorizados; manter credenciais protegidas; registrar e comunicar suspeitas de comprometimento e colaborar na investigação.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Monitoramento e Revisão</w:t>
      </w:r>
    </w:p>
    <w:p w:rsidR="00000000" w:rsidDel="00000000" w:rsidP="00000000" w:rsidRDefault="00000000" w:rsidRPr="00000000" w14:paraId="000001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color w:val="404040"/>
        </w:rPr>
      </w:pPr>
      <w:r>
        <w:rPr>
          <w:rFonts w:ascii="Arial" w:hAnsi="Arial"/>
          <w:sz w:val="21"/>
        </w:rPr>
        <w:t>Os riscos e seus tratamentos serão monitorados continuamente e formalmente revisados, no mínimo, a cada trimestre. A revisão também deverá ocorrer após incidentes relevantes, mudanças em sistemas ou fornecedores, alterações contratuais, mudanças regulatórias e resultados de testes ou exercícios de continuidade que indiquem falhas. A revisão trimestral da PGR deve ser coordenada com os testes e revisões do PCN, cujo calendário inclui simulação de mesa semestral, teste de comunicação trimestral e revisão após eventos ou mudanças relevantes, além de revisão anual.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610"/>
        <w:gridCol w:w="3750"/>
        <w:gridCol w:w="1890"/>
        <w:tblGridChange w:id="0">
          <w:tblGrid>
            <w:gridCol w:w="645"/>
            <w:gridCol w:w="2610"/>
            <w:gridCol w:w="3750"/>
            <w:gridCol w:w="18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Situação da medida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Evidência / pendência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7ed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Próxima revisão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evidências de proteção anti-DDoS, monitoramento e teste de continuidade; confirmar estratégia C01/C04 conforme o PCN. Backup isolado não mitiga ataque ativo.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ataque ou indisponibilidade relevante.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Reunir revisão de permissões, registros de emissão e evidências de análise de operações suspeitas.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tentativa ou confirmação de fraude.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Verificar autorizações, MFA, logs de acesso remoto, cláusulas contratuais, revogação de acessos e integração com C03/C04; coordenar C02 se atingir sistema embarcado.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 após mudança ou incidente de fornecedor.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Solicitar avaliação dos sistemas legados, plano de atualização/substituição e evidências de continuidade operacional conforme seção 4 do PCN; confirmar dependências sem presumi-las.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7f8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falha, mudança técnica ou teste com resultado insatisfatório.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Planejada — validar implantação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Reunir registros de autorização de alterações, verificação de integridade e avaliação técnica; conferir gatilhos de C02/C04 e evidências de liberação para retorno.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Trimestral e após alteração, anomalia ou incidente.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Perguntas para revisão: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 medida foi executada? Há evidência de que funciona? O risco mudou? Houve incidente ou teste que revelou uma falha? A PSI e o PCN precisam ser atualizados?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/>
          <w:sz w:val="21"/>
        </w:rPr>
        <w:t>Os registros de monitoramento devem identificar o risco, a medida avaliada, a evidência encontrada, a decisão tomada, a função responsável e a data da revisão.</w:t>
      </w:r>
    </w:p>
    <w:p>
      <w:pPr>
        <w:pStyle w:val="Heading1"/>
        <w:spacing w:before="0" w:after="20"/>
      </w:pPr>
      <w:r>
        <w:t>Referências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Calibri" w:eastAsia="Calibri" w:hAnsi="Arial"/>
          <w:b w:val="0"/>
          <w:bCs w:val="0"/>
          <w:i w:val="0"/>
          <w:iCs w:val="0"/>
          <w:smallCaps w:val="0"/>
          <w:strike w:val="0"/>
          <w:color w:val="404040"/>
          <w:sz w:val="18"/>
          <w:szCs w:val="20"/>
          <w:u w:val="none"/>
          <w:shd w:fill="auto" w:val="clear"/>
          <w:vertAlign w:val="baseline"/>
          <w:rtl w:val="0"/>
        </w:rPr>
        <w:t xml:space="preserve">Fontes externas: As referências abaixo apoiam os critérios de avaliação, tratamento, responsabilidades e monitoramento adotados nesta política.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Kit 2 — Gestão de Riscos de Segurança da Informação</w:t>
        </w:r>
      </w:hyperlink>
      <w:r w:rsidDel="00000000" w:rsidR="00000000" w:rsidRPr="00000000">
        <w:rPr>
          <w:rFonts w:ascii="Arial" w:hAnsi="Arial"/>
          <w:sz w:val="18"/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SEST / Ministério do Planejamento / UnB, 2018. Referência para registro e tratamento de riscos.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Aena — Política de control y gestión de riesgos</w:t>
        </w:r>
      </w:hyperlink>
      <w:r w:rsidDel="00000000" w:rsidR="00000000" w:rsidRPr="00000000">
        <w:rPr>
          <w:rFonts w:ascii="Arial" w:hAnsi="Arial"/>
          <w:sz w:val="18"/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Aprovada em 26/05/2026. Referência para avaliação, tratamento e acompanhamento de riscos.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34e7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GOL — Política de Segurança da Informação para Terceiros</w:t>
        </w:r>
      </w:hyperlink>
      <w:r w:rsidDel="00000000" w:rsidR="00000000" w:rsidRPr="00000000">
        <w:rPr>
          <w:rFonts w:ascii="Arial" w:hAnsi="Arial"/>
          <w:sz w:val="18"/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hAnsi="Arial"/>
          <w:sz w:val="18"/>
        </w:rPr>
        <w:t>Revisão 01, 12/06/2025. Referência para fornecedores, acessos, registros, backup e continuidade.</w:t>
      </w:r>
    </w:p>
    <w:sectPr>
      <w:headerReference r:id="rId16" w:type="default"/>
      <w:footerReference r:id="rId17" w:type="default"/>
      <w:type w:val="nextPage"/>
      <w:pgSz w:h="16838" w:w="11906" w:orient="portrait"/>
      <w:pgMar w:bottom="1020" w:top="1020" w:left="1134" w:right="1134" w:header="397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jc w:val="right"/>
      <w:rPr/>
    </w:pPr>
    <w:r w:rsidDel="00000000" w:rsidR="00000000" w:rsidRPr="00000000">
      <w:rPr>
        <w:sz w:val="16"/>
        <w:szCs w:val="16"/>
        <w:rtl w:val="0"/>
      </w:rPr>
      <w:t xml:space="preserve">AeroLog | PGR | Uso interno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140" w:before="20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widowControl w:val="1"/>
      <w:spacing w:after="140" w:before="20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>
      <w:keepNext w:val="1"/>
      <w:widowControl w:val="1"/>
      <w:spacing w:after="100" w:before="0" w:line="252.00000000000003" w:lineRule="auto"/>
      <w:ind w:left="0" w:right="0" w:firstLine="0"/>
    </w:pPr>
    <w:rPr>
      <w:rFonts w:ascii="Calibri" w:cs="Calibri" w:eastAsia="Calibri" w:hAnsi="Calibri"/>
      <w:b w:val="0"/>
      <w:bCs w:val="0"/>
      <w:i w:val="0"/>
      <w:iCs w:val="0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s://www.gov.br/gestao/pt-br/assuntos/estatais/central-de-conteudo/kits-governanca-ti/kit-2/gestao-de-riscos-de-seguranca-da-informacao/kit-2-governanca-tic-artefato-gestao-de-riscos-de-seguranca-da-informacao.pdf" TargetMode="Externa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14" Type="http://schemas.openxmlformats.org/officeDocument/2006/relationships/hyperlink" Target="https://www.aena.es/sites/Satellite?blobcol=urldata&amp;blobkey=id&amp;blobtable=MungoBlobs&amp;blobwhere=1576874115175&amp;ssbinary=true" TargetMode="Externa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2026-08-20T00:00:00Z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2026-08-20T00:00:00Z</vt:lpwstr>
  </property>
</Properties>
</file>