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keepNext w:val="0"/>
        <w:keepLines w:val="0"/>
        <w:widowControl/>
        <w:spacing w:line="240" w:lineRule="auto"/>
        <w:ind w:left="721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437836" cy="427481"/>
            <wp:effectExtent l="0" t="0" r="0" b="0"/>
            <wp:docPr id="2" name="Image 2" descr="Logotipo UNIPAM do documento acadêmico de referênc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Logotipo UNIPAM do documento acadêmico de referência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836" cy="4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keepNext w:val="0"/>
        <w:keepLines w:val="0"/>
        <w:widowControl/>
        <w:spacing w:before="113"/>
        <w:ind w:left="0" w:right="56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UNIPAM</w:t>
      </w:r>
    </w:p>
    <w:p>
      <w:pPr>
        <w:keepNext w:val="0"/>
        <w:keepLines w:val="0"/>
        <w:widowControl/>
        <w:spacing w:before="96"/>
        <w:ind w:left="5" w:right="571" w:firstLine="0"/>
        <w:jc w:val="center"/>
        <w:rPr>
          <w:b/>
          <w:sz w:val="28"/>
        </w:rPr>
      </w:pPr>
      <w:r>
        <w:rPr>
          <w:b/>
          <w:sz w:val="28"/>
        </w:rPr>
        <w:t>CURSO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SISTEMAS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INFORMAÇÃO</w:t>
      </w:r>
    </w:p>
    <w:p>
      <w:pPr>
        <w:pStyle w:val="BodyText"/>
        <w:keepNext w:val="0"/>
        <w:keepLines w:val="0"/>
        <w:widowControl/>
        <w:spacing w:line="321" w:lineRule="auto" w:before="95"/>
        <w:ind w:left="2433" w:right="2960" w:firstLine="568"/>
      </w:pPr>
      <w:r>
        <w:rPr/>
        <w:t>Auditoria e Segurança de Sistemas Turma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período:</w:t>
      </w:r>
      <w:r>
        <w:rPr>
          <w:spacing w:val="-6"/>
        </w:rPr>
        <w:t> </w:t>
      </w:r>
      <w:r>
        <w:rPr/>
        <w:t>Sistemas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Informação</w:t>
      </w:r>
      <w:r>
        <w:rPr>
          <w:spacing w:val="-6"/>
        </w:rPr>
        <w:t> </w:t>
      </w:r>
      <w:r>
        <w:rPr/>
        <w:t>6º B</w:t>
      </w:r>
      <w:r>
        <w:rPr>
          <w:spacing w:val="-8"/>
        </w:rPr>
        <w:t/>
      </w:r>
      <w:r>
        <w:rPr/>
        <w:t/>
      </w: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232"/>
      </w:pPr>
    </w:p>
    <w:p>
      <w:pPr>
        <w:pStyle w:val="Title"/>
      </w:pP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Continuidade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Negócios</w:t>
      </w:r>
    </w:p>
    <w:p>
      <w:pPr>
        <w:pStyle w:val="BodyText"/>
        <w:keepNext w:val="0"/>
        <w:keepLines w:val="0"/>
        <w:widowControl/>
        <w:spacing w:line="374" w:lineRule="auto" w:before="203"/>
        <w:ind w:left="3086" w:right="3657"/>
        <w:jc w:val="center"/>
      </w:pPr>
      <w:r>
        <w:rPr/>
        <w:t>AeroLog</w:t>
      </w:r>
      <w:r>
        <w:rPr>
          <w:spacing w:val="-15"/>
        </w:rPr>
        <w:t> </w:t>
      </w:r>
      <w:r>
        <w:rPr/>
        <w:t>Transportes</w:t>
      </w:r>
      <w:r>
        <w:rPr>
          <w:spacing w:val="-15"/>
        </w:rPr>
        <w:t> </w:t>
      </w:r>
      <w:r>
        <w:rPr/>
        <w:t>Aéreos </w:t>
      </w:r>
      <w:r>
        <w:rPr>
          <w:spacing w:val="-4"/>
        </w:rPr>
        <w:t>PCN</w:t>
      </w: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273"/>
      </w:pPr>
    </w:p>
    <w:p>
      <w:pPr>
        <w:pStyle w:val="BodyText"/>
        <w:keepNext w:val="0"/>
        <w:keepLines w:val="0"/>
        <w:widowControl/>
        <w:spacing w:line="252" w:lineRule="auto"/>
        <w:ind w:left="6392" w:right="423" w:firstLine="218"/>
        <w:jc w:val="right"/>
      </w:pPr>
      <w:r>
        <w:rPr/>
        <w:t>Arthur</w:t>
      </w:r>
      <w:r>
        <w:rPr>
          <w:spacing w:val="-12"/>
        </w:rPr>
        <w:t> </w:t>
      </w:r>
      <w:r>
        <w:rPr/>
        <w:t>Aparecido</w:t>
      </w:r>
      <w:r>
        <w:rPr>
          <w:spacing w:val="-12"/>
        </w:rPr>
        <w:t> </w:t>
      </w:r>
      <w:r>
        <w:rPr/>
        <w:t>Sousa</w:t>
      </w:r>
      <w:r>
        <w:rPr>
          <w:spacing w:val="-11"/>
        </w:rPr>
        <w:t> </w:t>
      </w:r>
      <w:r>
        <w:rPr/>
        <w:t>Silva Caio Cesar Alves de Freitas Gustavo</w:t>
      </w:r>
      <w:r>
        <w:rPr>
          <w:spacing w:val="-1"/>
        </w:rPr>
        <w:t> </w:t>
      </w:r>
      <w:r>
        <w:rPr/>
        <w:t>Jesus Damiço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Sousa</w:t>
      </w:r>
    </w:p>
    <w:p>
      <w:pPr>
        <w:pStyle w:val="BodyText"/>
        <w:keepNext w:val="0"/>
        <w:keepLines w:val="0"/>
        <w:widowControl/>
        <w:spacing w:line="252" w:lineRule="auto"/>
        <w:ind w:left="7578" w:right="422" w:hanging="53"/>
        <w:jc w:val="both"/>
      </w:pPr>
      <w:r>
        <w:rPr/>
        <w:t>Higor</w:t>
      </w:r>
      <w:r>
        <w:rPr>
          <w:spacing w:val="-15"/>
        </w:rPr>
        <w:t> </w:t>
      </w:r>
      <w:r>
        <w:rPr/>
        <w:t>Honório</w:t>
      </w:r>
      <w:r>
        <w:rPr>
          <w:spacing w:val="-15"/>
        </w:rPr>
        <w:t> </w:t>
      </w:r>
      <w:r>
        <w:rPr/>
        <w:t>Silva Isadora</w:t>
      </w:r>
      <w:r>
        <w:rPr>
          <w:spacing w:val="-4"/>
        </w:rPr>
        <w:t> </w:t>
      </w:r>
      <w:r>
        <w:rPr/>
        <w:t>Santos</w:t>
      </w:r>
      <w:r>
        <w:rPr>
          <w:spacing w:val="-2"/>
        </w:rPr>
        <w:t> </w:t>
      </w:r>
      <w:r>
        <w:rPr/>
        <w:t>Leal Sabrina</w:t>
      </w:r>
      <w:r>
        <w:rPr>
          <w:spacing w:val="-4"/>
        </w:rPr>
        <w:t> </w:t>
      </w:r>
      <w:r>
        <w:rPr/>
        <w:t>Naoko</w:t>
      </w:r>
      <w:r>
        <w:rPr>
          <w:spacing w:val="1"/>
        </w:rPr>
        <w:t> </w:t>
      </w:r>
      <w:r>
        <w:rPr>
          <w:spacing w:val="-2"/>
        </w:rPr>
        <w:t>Ishii</w:t>
      </w:r>
    </w:p>
    <w:p>
      <w:pPr>
        <w:pStyle w:val="BodyText"/>
        <w:keepNext w:val="0"/>
        <w:keepLines w:val="0"/>
        <w:widowControl/>
        <w:spacing w:after="0" w:line="252" w:lineRule="auto"/>
        <w:jc w:val="both"/>
        <w:sectPr>
          <w:footerReference w:type="default" r:id="rId5"/>
          <w:type w:val="continuous"/>
          <w:pgSz w:w="11910" w:h="16840"/>
          <w:pgMar w:header="0" w:footer="1520" w:top="1000" w:bottom="1740" w:left="1275" w:right="708"/>
          <w:pgNumType w:start="1"/>
        </w:sectPr>
      </w:pPr>
    </w:p>
    <w:p>
      <w:pPr>
        <w:pStyle w:val="BodyText"/>
        <w:keepNext w:val="0"/>
        <w:keepLines w:val="0"/>
        <w:widowControl/>
        <w:spacing w:line="252" w:lineRule="auto" w:before="60"/>
        <w:ind w:left="3125" w:right="3690" w:hanging="3"/>
        <w:jc w:val="center"/>
      </w:pPr>
      <w:r>
        <w:rPr/>
        <w:t>Arthur Aparecido Sousa Silva Caio Cesar Alves de Freitas Gustavo</w:t>
      </w:r>
      <w:r>
        <w:rPr>
          <w:spacing w:val="-9"/>
        </w:rPr>
        <w:t> </w:t>
      </w:r>
      <w:r>
        <w:rPr/>
        <w:t>Jesus</w:t>
      </w:r>
      <w:r>
        <w:rPr>
          <w:spacing w:val="-9"/>
        </w:rPr>
        <w:t> </w:t>
      </w:r>
      <w:r>
        <w:rPr/>
        <w:t>Damiço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Sousa Higor Honório Silva</w:t>
      </w:r>
    </w:p>
    <w:p>
      <w:pPr>
        <w:pStyle w:val="BodyText"/>
        <w:keepNext w:val="0"/>
        <w:keepLines w:val="0"/>
        <w:widowControl/>
        <w:spacing w:line="252" w:lineRule="auto" w:before="1"/>
        <w:ind w:left="3718" w:right="4287" w:hanging="2"/>
        <w:jc w:val="center"/>
      </w:pPr>
      <w:r>
        <w:rPr/>
        <w:t>Isadora</w:t>
      </w:r>
      <w:r>
        <w:rPr>
          <w:spacing w:val="-6"/>
        </w:rPr>
        <w:t> </w:t>
      </w:r>
      <w:r>
        <w:rPr/>
        <w:t>Santos</w:t>
      </w:r>
      <w:r>
        <w:rPr>
          <w:spacing w:val="-4"/>
        </w:rPr>
        <w:t> </w:t>
      </w:r>
      <w:r>
        <w:rPr/>
        <w:t>Leal Sabrina</w:t>
      </w:r>
      <w:r>
        <w:rPr>
          <w:spacing w:val="-6"/>
        </w:rPr>
        <w:t> </w:t>
      </w:r>
      <w:r>
        <w:rPr/>
        <w:t>Naoko</w:t>
      </w:r>
      <w:r>
        <w:rPr>
          <w:spacing w:val="1"/>
        </w:rPr>
        <w:t> </w:t>
      </w:r>
      <w:r>
        <w:rPr>
          <w:spacing w:val="-4"/>
        </w:rPr>
        <w:t>Ishii</w:t>
      </w: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44"/>
      </w:pPr>
    </w:p>
    <w:p>
      <w:pPr>
        <w:pStyle w:val="Title"/>
      </w:pP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Continuidade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Negócios</w:t>
      </w:r>
    </w:p>
    <w:p>
      <w:pPr>
        <w:pStyle w:val="BodyText"/>
        <w:keepNext w:val="0"/>
        <w:keepLines w:val="0"/>
        <w:widowControl/>
        <w:spacing w:before="204"/>
        <w:ind w:right="571"/>
        <w:jc w:val="center"/>
      </w:pPr>
      <w:r>
        <w:rPr/>
        <w:t>AeroLog</w:t>
      </w:r>
      <w:r>
        <w:rPr>
          <w:spacing w:val="-4"/>
        </w:rPr>
        <w:t> </w:t>
      </w:r>
      <w:r>
        <w:rPr/>
        <w:t>Transportes</w:t>
      </w:r>
      <w:r>
        <w:rPr>
          <w:spacing w:val="-2"/>
        </w:rPr>
        <w:t> Aéreos</w:t>
      </w: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79"/>
      </w:pPr>
    </w:p>
    <w:p>
      <w:pPr>
        <w:pStyle w:val="BodyText"/>
        <w:keepNext w:val="0"/>
        <w:keepLines w:val="0"/>
        <w:widowControl/>
        <w:spacing w:line="252" w:lineRule="auto"/>
        <w:ind w:left="5552" w:right="423"/>
        <w:jc w:val="both"/>
      </w:pPr>
      <w:r>
        <w:rPr>
          <w:rFonts w:ascii="Times New Roman" w:hAnsi="Times New Roman"/>
          <w:sz w:val="24"/>
        </w:rPr>
        <w:t>Documento interno para continuidade e recuperação dos processos e sistemas críticos da AeroLog Transportes Aéreos.</w:t>
      </w:r>
    </w:p>
    <w:p>
      <w:pPr>
        <w:pStyle w:val="BodyText"/>
        <w:keepNext w:val="0"/>
        <w:keepLines w:val="0"/>
        <w:widowControl/>
        <w:spacing w:line="338" w:lineRule="auto" w:before="241"/>
        <w:ind w:left="5012" w:right="423" w:firstLine="832"/>
        <w:jc w:val="right"/>
      </w:pPr>
      <w:r>
        <w:rPr/>
        <w:t>Professor(a):</w:t>
      </w:r>
      <w:r>
        <w:rPr>
          <w:spacing w:val="-9"/>
        </w:rPr>
        <w:t> </w:t>
      </w:r>
      <w:r>
        <w:rPr/>
        <w:t>Eder</w:t>
      </w:r>
      <w:r>
        <w:rPr>
          <w:spacing w:val="-9"/>
        </w:rPr>
        <w:t> </w:t>
      </w:r>
      <w:r>
        <w:rPr/>
        <w:t>Manoel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Santana Turma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período:</w:t>
      </w:r>
      <w:r>
        <w:rPr>
          <w:spacing w:val="-1"/>
        </w:rPr>
        <w:t> </w:t>
      </w:r>
      <w:r>
        <w:rPr/>
        <w:t>Sistemas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/>
        <w:t>Informação</w:t>
      </w:r>
      <w:r>
        <w:rPr>
          <w:spacing w:val="-1"/>
        </w:rPr>
        <w:t> </w:t>
      </w:r>
      <w:r>
        <w:rPr/>
        <w:t>6º B</w:t>
      </w:r>
      <w:r>
        <w:rPr>
          <w:spacing w:val="-4"/>
        </w:rPr>
        <w:t/>
      </w:r>
      <w:r>
        <w:rPr>
          <w:spacing w:val="-10"/>
        </w:rPr>
        <w:t/>
      </w:r>
    </w:p>
    <w:p>
      <w:pPr>
        <w:pStyle w:val="BodyText"/>
        <w:keepNext w:val="0"/>
        <w:keepLines w:val="0"/>
        <w:widowControl/>
        <w:spacing w:line="276" w:lineRule="exact"/>
        <w:ind w:right="424"/>
        <w:jc w:val="right"/>
      </w:pPr>
      <w:r>
        <w:rPr>
          <w:rFonts w:ascii="Times New Roman" w:hAnsi="Times New Roman"/>
          <w:sz w:val="24"/>
        </w:rPr>
        <w:t>Classificação: Uso interno</w:t>
      </w:r>
    </w:p>
    <w:p>
      <w:pPr>
        <w:pStyle w:val="BodyText"/>
        <w:keepNext w:val="0"/>
        <w:keepLines w:val="0"/>
        <w:widowControl/>
        <w:spacing w:line="276" w:lineRule="exact"/>
        <w:ind w:right="424"/>
        <w:jc w:val="right"/>
      </w:pPr>
      <w:r>
        <w:rPr>
          <w:rFonts w:ascii="Times New Roman" w:hAnsi="Times New Roman"/>
          <w:sz w:val="24"/>
        </w:rPr>
        <w:t>Versão: 0.3</w:t>
      </w:r>
    </w:p>
    <w:p>
      <w:pPr>
        <w:pStyle w:val="BodyText"/>
        <w:keepNext w:val="0"/>
        <w:keepLines w:val="0"/>
        <w:widowControl/>
        <w:spacing w:line="276" w:lineRule="exact"/>
        <w:ind w:right="424"/>
        <w:jc w:val="right"/>
      </w:pPr>
      <w:r>
        <w:rPr>
          <w:rFonts w:ascii="Times New Roman" w:hAnsi="Times New Roman"/>
          <w:sz w:val="24"/>
        </w:rPr>
        <w:t>Data de emissão: 18/10/2026</w:t>
      </w: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139"/>
      </w:pPr>
    </w:p>
    <w:p>
      <w:pPr>
        <w:pStyle w:val="BodyText"/>
        <w:keepNext w:val="0"/>
        <w:keepLines w:val="0"/>
        <w:widowControl/>
        <w:spacing w:line="357" w:lineRule="auto" w:before="1"/>
        <w:ind w:left="3101" w:right="2236" w:hanging="3"/>
      </w:pPr>
      <w:r>
        <w:rPr>
          <w:rFonts w:ascii="Times New Roman" w:hAnsi="Times New Roman"/>
          <w:sz w:val="24"/>
        </w:rPr>
        <w:t>Responsável pela elaboração: Gestão de Segurança da Informação</w:t>
        <w:br/>
        <w:t>Aprovação: Alta Administração</w:t>
      </w:r>
    </w:p>
    <w:p>
      <w:pPr>
        <w:pStyle w:val="BodyText"/>
        <w:keepNext w:val="0"/>
        <w:keepLines w:val="0"/>
        <w:widowControl/>
        <w:spacing w:after="0" w:line="357" w:lineRule="auto"/>
        <w:sectPr>
          <w:footerReference w:type="default" r:id="rId7"/>
          <w:pgSz w:w="11910" w:h="16840"/>
          <w:pgMar w:header="0" w:footer="1426" w:top="940" w:bottom="1660" w:left="1275" w:right="708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62" w:after="0"/>
        <w:ind w:left="858" w:right="0" w:hanging="431"/>
        <w:jc w:val="both"/>
      </w:pPr>
      <w:r>
        <w:rPr>
          <w:spacing w:val="-2"/>
        </w:rPr>
        <w:t>Objetivo</w:t>
      </w:r>
    </w:p>
    <w:p>
      <w:pPr>
        <w:pStyle w:val="BodyText"/>
        <w:keepNext w:val="0"/>
        <w:keepLines w:val="0"/>
        <w:widowControl/>
        <w:spacing w:line="360" w:lineRule="auto" w:before="213"/>
        <w:ind w:left="427" w:right="428" w:firstLine="1132"/>
        <w:jc w:val="both"/>
      </w:pPr>
      <w:r>
        <w:rPr/>
        <w:t>O Plano de Continuidade de Negócios (PCN) da AeroLog Transportes Aéreos estabelece diretrizes para manter atividades essenciais em condições controladas e recuperar serviços após interrupções que comprometam o transporte de cargas e passageiros. O plano considera as características da empresa: atuação em 20 cidades, 1.100 colaboradores, 50 servidores locais, equipe interna de TI, sistemas críticos embarcados e fornecedores internacionais de software de navegação.</w:t>
      </w:r>
    </w:p>
    <w:p>
      <w:pPr>
        <w:pStyle w:val="Heading1"/>
        <w:numPr>
          <w:ilvl w:val="1"/>
          <w:numId w:val="1"/>
        </w:numPr>
        <w:tabs>
          <w:tab w:pos="1002" w:val="left" w:leader="none"/>
        </w:tabs>
        <w:spacing w:line="240" w:lineRule="auto" w:before="203" w:after="0"/>
        <w:ind w:left="1002" w:right="0" w:hanging="575"/>
        <w:jc w:val="both"/>
      </w:pPr>
      <w:r>
        <w:rPr>
          <w:spacing w:val="-2"/>
        </w:rPr>
        <w:t>Escopo</w:t>
      </w:r>
    </w:p>
    <w:p>
      <w:pPr>
        <w:pStyle w:val="BodyText"/>
        <w:keepNext w:val="0"/>
        <w:keepLines w:val="0"/>
        <w:widowControl/>
        <w:spacing w:line="360" w:lineRule="auto" w:before="211"/>
        <w:ind w:left="427" w:right="423" w:firstLine="1132"/>
        <w:jc w:val="both"/>
      </w:pPr>
      <w:r>
        <w:rPr/>
        <w:t>O escopo abrange: (a) reservas e emissão de passagens; (b) sistemas legados de controle de voo e suporte às operações de voo; (c) sistemas embarcados relacionados à segurança operacional; (d) infraestrutura local indispensável a esses processos; e (e) dependências de suporte técnico externo. O escopo corresponde aos riscos identificados na PGR: R01 (DDoS em reservas — crítico), R02 (fraude de passagens via GDS — crítico), R03 (comprometimento via suporte externo — alto), R04 (falha de sistemas legados de controle de voo — crítico) e R05 (comprometimento de sistema embarcado — alto). Os níveis são os da PGR, não avaliações novas do PCN.</w:t>
      </w:r>
    </w:p>
    <w:p>
      <w:pPr>
        <w:pStyle w:val="BodyText"/>
        <w:keepNext w:val="0"/>
        <w:keepLines w:val="0"/>
        <w:widowControl/>
        <w:spacing w:line="360" w:lineRule="auto" w:before="202"/>
        <w:ind w:left="427" w:right="424" w:firstLine="1132"/>
        <w:jc w:val="both"/>
      </w:pPr>
      <w:r>
        <w:rPr/>
        <w:t>A continuidade significa manter somente as atividades autorizadas e tecnicamente seguras</w:t>
      </w:r>
      <w:r>
        <w:rPr>
          <w:spacing w:val="-8"/>
        </w:rPr>
        <w:t> </w:t>
      </w:r>
      <w:r>
        <w:rPr/>
        <w:t>durante</w:t>
      </w:r>
      <w:r>
        <w:rPr>
          <w:spacing w:val="-9"/>
        </w:rPr>
        <w:t> </w:t>
      </w:r>
      <w:r>
        <w:rPr/>
        <w:t>uma</w:t>
      </w:r>
      <w:r>
        <w:rPr>
          <w:spacing w:val="-9"/>
        </w:rPr>
        <w:t> </w:t>
      </w:r>
      <w:r>
        <w:rPr/>
        <w:t>interrupção;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recuperação</w:t>
      </w:r>
      <w:r>
        <w:rPr>
          <w:spacing w:val="-8"/>
        </w:rPr>
        <w:t> </w:t>
      </w:r>
      <w:r>
        <w:rPr/>
        <w:t>significa</w:t>
      </w:r>
      <w:r>
        <w:rPr>
          <w:spacing w:val="-9"/>
        </w:rPr>
        <w:t> </w:t>
      </w:r>
      <w:r>
        <w:rPr/>
        <w:t>restabelecer</w:t>
      </w:r>
      <w:r>
        <w:rPr>
          <w:spacing w:val="-9"/>
        </w:rPr>
        <w:t> </w:t>
      </w:r>
      <w:r>
        <w:rPr/>
        <w:t>os</w:t>
      </w:r>
      <w:r>
        <w:rPr>
          <w:spacing w:val="-8"/>
        </w:rPr>
        <w:t> </w:t>
      </w:r>
      <w:r>
        <w:rPr/>
        <w:t>serviços</w:t>
      </w:r>
      <w:r>
        <w:rPr>
          <w:spacing w:val="-8"/>
        </w:rPr>
        <w:t> </w:t>
      </w:r>
      <w:r>
        <w:rPr/>
        <w:t>normais</w:t>
      </w:r>
      <w:r>
        <w:rPr>
          <w:spacing w:val="-8"/>
        </w:rPr>
        <w:t> </w:t>
      </w:r>
      <w:r>
        <w:rPr/>
        <w:t>após validação de disponibilidade, integridade e condições operacionais. A execução do PCN não substitui a resposta a incidentes de segurança nem autoriza a realização de voos sem as informações e aprovações exigidas pelas funções competentes.</w:t>
      </w:r>
    </w:p>
    <w:p>
      <w:pPr>
        <w:pStyle w:val="BodyText"/>
        <w:keepNext w:val="0"/>
        <w:keepLines w:val="0"/>
        <w:widowControl/>
        <w:spacing w:line="360" w:lineRule="auto" w:before="201"/>
        <w:ind w:left="427" w:right="422" w:firstLine="1132"/>
        <w:jc w:val="both"/>
      </w:pPr>
      <w:r>
        <w:rPr>
          <w:rFonts w:ascii="Times New Roman" w:hAnsi="Times New Roman"/>
          <w:sz w:val="24"/>
        </w:rPr>
        <w:t>A ativação ocorre quando um dos eventos R01–R05 produzir interrupção relevante ou comprometer a capacidade de manter um processo crítico, superando o tratamento rotineiro. A ocorrência de R02, isoladamente, não implica indisponibilidade: fraude exige apuração e correção de registros, e só demanda contingência quando efetivamente interromper o processo. A TI avalia a dimensão técnica, os responsáveis operacionais avaliam as restrições de segurança e a função formalmente designada pela direção autoriza a ativação e o encerramento do plano.</w:t>
      </w:r>
    </w:p>
    <w:p>
      <w:pPr>
        <w:pStyle w:val="BodyText"/>
        <w:keepNext w:val="0"/>
        <w:keepLines w:val="0"/>
        <w:widowControl/>
        <w:spacing w:line="360" w:lineRule="auto" w:before="201"/>
        <w:ind w:left="427" w:right="430" w:firstLine="1132"/>
        <w:jc w:val="both"/>
      </w:pPr>
      <w:r>
        <w:rPr>
          <w:rFonts w:ascii="Times New Roman" w:hAnsi="Times New Roman"/>
          <w:sz w:val="24"/>
        </w:rPr>
        <w:t>Condições de planejamento: os ambientes alternativos, os procedimentos de emergência, os contatos, a capacidade de contingência e os prazos de recuperação devem ser definidos, mantidos e validados pelos responsáveis indicados neste plano.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footerReference w:type="default" r:id="rId8"/>
          <w:pgSz w:w="11910" w:h="16840"/>
          <w:pgMar w:header="0" w:footer="538" w:top="1820" w:bottom="760" w:left="1275" w:right="708"/>
          <w:pgNumType w:start="3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200" w:after="0"/>
        <w:ind w:left="858" w:right="0" w:hanging="431"/>
        <w:jc w:val="both"/>
      </w:pPr>
      <w:r>
        <w:rPr/>
        <w:t>Processos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Sistemas</w:t>
      </w:r>
      <w:r>
        <w:rPr>
          <w:spacing w:val="-1"/>
        </w:rPr>
        <w:t> </w:t>
      </w:r>
      <w:r>
        <w:rPr>
          <w:spacing w:val="-2"/>
        </w:rPr>
        <w:t>Críticos</w:t>
      </w:r>
    </w:p>
    <w:p>
      <w:pPr>
        <w:pStyle w:val="BodyText"/>
        <w:keepNext w:val="0"/>
        <w:keepLines w:val="0"/>
        <w:widowControl/>
        <w:spacing w:line="360" w:lineRule="auto" w:before="153"/>
        <w:ind w:left="427" w:right="423" w:firstLine="1132"/>
        <w:jc w:val="both"/>
      </w:pPr>
      <w:r>
        <w:rPr>
          <w:rFonts w:ascii="Times New Roman" w:hAnsi="Times New Roman"/>
          <w:sz w:val="24"/>
        </w:rPr>
        <w:t>O levantamento identifica os processos impactados pelos riscos R01–R05 da PGR e as dependências necessárias à continuidade e à recuperação segura. A TI deve manter o inventário dos sistemas, servidores, integrações e responsáveis, com apoio das áreas operacionais.</w:t>
      </w:r>
    </w:p>
    <w:p>
      <w:pPr>
        <w:pStyle w:val="BodyText"/>
        <w:keepNext w:val="0"/>
        <w:keepLines w:val="0"/>
        <w:widowControl/>
        <w:spacing w:line="360" w:lineRule="auto" w:before="101"/>
        <w:ind w:left="427" w:right="420" w:firstLine="1132"/>
        <w:jc w:val="both"/>
      </w:pPr>
      <w:r>
        <w:rPr/>
        <w:t>No mapeamento de riscos: reservas correspondem a R01; emissão/GDS a R02; suporte</w:t>
      </w:r>
      <w:r>
        <w:rPr>
          <w:spacing w:val="-11"/>
        </w:rPr>
        <w:t> </w:t>
      </w:r>
      <w:r>
        <w:rPr/>
        <w:t>externo</w:t>
      </w:r>
      <w:r>
        <w:rPr>
          <w:spacing w:val="-7"/>
        </w:rPr>
        <w:t> </w:t>
      </w:r>
      <w:r>
        <w:rPr/>
        <w:t>a</w:t>
      </w:r>
      <w:r>
        <w:rPr>
          <w:spacing w:val="-11"/>
        </w:rPr>
        <w:t> </w:t>
      </w:r>
      <w:r>
        <w:rPr/>
        <w:t>R03;</w:t>
      </w:r>
      <w:r>
        <w:rPr>
          <w:spacing w:val="-9"/>
        </w:rPr>
        <w:t> </w:t>
      </w:r>
      <w:r>
        <w:rPr/>
        <w:t>falha de sistemas legados de controle de voo a R04;</w:t>
      </w:r>
      <w:r>
        <w:rPr>
          <w:spacing w:val="-10"/>
        </w:rPr>
        <w:t/>
      </w:r>
      <w:r>
        <w:rPr/>
        <w:t/>
      </w:r>
      <w:r>
        <w:rPr>
          <w:spacing w:val="-11"/>
        </w:rPr>
        <w:t/>
      </w:r>
      <w:r>
        <w:rPr/>
        <w:t/>
      </w:r>
      <w:r>
        <w:rPr>
          <w:spacing w:val="-10"/>
        </w:rPr>
        <w:t/>
      </w:r>
      <w:r>
        <w:rPr/>
        <w:t/>
      </w:r>
      <w:r>
        <w:rPr>
          <w:spacing w:val="-11"/>
        </w:rPr>
        <w:t/>
      </w:r>
      <w:r>
        <w:rPr/>
        <w:t/>
      </w:r>
      <w:r>
        <w:rPr>
          <w:spacing w:val="-9"/>
        </w:rPr>
        <w:t> </w:t>
      </w:r>
      <w:r>
        <w:rPr/>
        <w:t>e</w:t>
      </w:r>
      <w:r>
        <w:rPr>
          <w:spacing w:val="-11"/>
        </w:rPr>
        <w:t> </w:t>
      </w:r>
      <w:r>
        <w:rPr/>
        <w:t>sistemas</w:t>
      </w:r>
      <w:r>
        <w:rPr>
          <w:spacing w:val="-9"/>
        </w:rPr>
        <w:t> </w:t>
      </w:r>
      <w:r>
        <w:rPr/>
        <w:t>embarcados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R05.</w:t>
      </w:r>
      <w:r>
        <w:rPr>
          <w:spacing w:val="-8"/>
        </w:rPr>
        <w:t> </w:t>
      </w:r>
      <w:r>
        <w:rPr/>
        <w:t>Para</w:t>
      </w:r>
      <w:r>
        <w:rPr>
          <w:spacing w:val="-11"/>
        </w:rPr>
        <w:t> </w:t>
      </w:r>
      <w:r>
        <w:rPr/>
        <w:t>cada</w:t>
      </w:r>
      <w:r>
        <w:rPr>
          <w:spacing w:val="-11"/>
        </w:rPr>
        <w:t> </w:t>
      </w:r>
      <w:r>
        <w:rPr/>
        <w:t>sistema, a área responsável deverá confirmar o inventário, dados essenciais, dependências e validação. A</w:t>
      </w:r>
      <w:r>
        <w:rPr>
          <w:spacing w:val="-8"/>
        </w:rPr>
        <w:t> </w:t>
      </w:r>
      <w:r>
        <w:rPr/>
        <w:t>TI</w:t>
      </w:r>
      <w:r>
        <w:rPr>
          <w:spacing w:val="-10"/>
        </w:rPr>
        <w:t> </w:t>
      </w:r>
      <w:r>
        <w:rPr/>
        <w:t>interna</w:t>
      </w:r>
      <w:r>
        <w:rPr>
          <w:spacing w:val="-7"/>
        </w:rPr>
        <w:t> </w:t>
      </w:r>
      <w:r>
        <w:rPr/>
        <w:t>coordena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/>
        <w:t>levantamento</w:t>
      </w:r>
      <w:r>
        <w:rPr>
          <w:spacing w:val="-7"/>
        </w:rPr>
        <w:t> </w:t>
      </w:r>
      <w:r>
        <w:rPr/>
        <w:t>tecnológico,</w:t>
      </w:r>
      <w:r>
        <w:rPr>
          <w:spacing w:val="-7"/>
        </w:rPr>
        <w:t> </w:t>
      </w:r>
      <w:r>
        <w:rPr/>
        <w:t>enquanto</w:t>
      </w:r>
      <w:r>
        <w:rPr>
          <w:spacing w:val="-5"/>
        </w:rPr>
        <w:t> </w:t>
      </w:r>
      <w:r>
        <w:rPr/>
        <w:t>engenheiros,</w:t>
      </w:r>
      <w:r>
        <w:rPr>
          <w:spacing w:val="-8"/>
        </w:rPr>
        <w:t> </w:t>
      </w:r>
      <w:r>
        <w:rPr/>
        <w:t>pilotos,</w:t>
      </w:r>
      <w:r>
        <w:rPr>
          <w:spacing w:val="-7"/>
        </w:rPr>
        <w:t> </w:t>
      </w:r>
      <w:r>
        <w:rPr/>
        <w:t>manutenção e profissionais de atendimento colaboram conforme a atividade.</w:t>
      </w:r>
    </w:p>
    <w:p>
      <w:pPr>
        <w:pStyle w:val="BodyText"/>
        <w:keepNext w:val="0"/>
        <w:keepLines w:val="0"/>
        <w:widowControl/>
        <w:spacing w:before="9" w:after="1"/>
        <w:rPr>
          <w:sz w:val="8"/>
        </w:rPr>
      </w:pPr>
    </w:p>
    <w:tbl>
      <w:tblPr>
        <w:tblW w:w="0" w:type="auto"/>
        <w:jc w:val="left"/>
        <w:tblInd w:w="14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4"/>
        <w:gridCol w:w="3574"/>
        <w:gridCol w:w="3634"/>
      </w:tblGrid>
      <w:tr>
        <w:trPr/>
        <w:tc>
          <w:tcPr>
            <w:tcW w:w="2434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Processo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/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sistema</w:t>
            </w:r>
          </w:p>
        </w:tc>
        <w:tc>
          <w:tcPr>
            <w:tcW w:w="3574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O que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considerar</w:t>
            </w:r>
          </w:p>
        </w:tc>
        <w:tc>
          <w:tcPr>
            <w:tcW w:w="3634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Dependências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a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confirmar</w:t>
            </w:r>
          </w:p>
        </w:tc>
      </w:tr>
      <w:tr>
        <w:trPr/>
        <w:tc>
          <w:tcPr>
            <w:tcW w:w="2434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Operações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pacing w:val="-5"/>
                <w:sz w:val="20"/>
              </w:rPr>
              <w:t>voo</w:t>
            </w:r>
          </w:p>
        </w:tc>
        <w:tc>
          <w:tcPr>
            <w:tcW w:w="357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Continuidade das operações de voo; risco R04</w:t>
            </w:r>
            <w:r>
              <w:rPr>
                <w:rFonts w:ascii="Times New Roman" w:hAnsi="Times New Roman"/>
                <w:sz w:val="20"/>
              </w:rPr>
              <w:t> (crítico) por falhas dos sistemas legados de controle de voo. Identificar atividades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podem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continuar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em </w:t>
            </w:r>
            <w:r>
              <w:rPr>
                <w:rFonts w:ascii="Times New Roman" w:hAnsi="Times New Roman"/>
                <w:spacing w:val="-2"/>
                <w:sz w:val="20"/>
              </w:rPr>
              <w:t>contingência.</w:t>
            </w:r>
          </w:p>
        </w:tc>
        <w:tc>
          <w:tcPr>
            <w:tcW w:w="3634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Responsável: gestão de operações aéreas. Confirmar informações de voo, autorizações, sistemas legados de controle de voo e pessoal habilitado.</w:t>
            </w:r>
          </w:p>
        </w:tc>
      </w:tr>
      <w:tr>
        <w:trPr/>
        <w:tc>
          <w:tcPr>
            <w:tcW w:w="2434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638" w:val="left" w:leader="none"/>
              </w:tabs>
              <w:spacing w:line="240" w:lineRule="auto" w:before="0" w:after="0"/>
              <w:ind w:left="91" w:right="7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Sistemas críticos embarcados</w:t>
            </w:r>
          </w:p>
        </w:tc>
        <w:tc>
          <w:tcPr>
            <w:tcW w:w="3574" w:type="dxa"/>
            <w:shd w:val="clear" w:color="auto" w:fill="F7F8F9"/>
            <w:vAlign w:val="top"/>
          </w:tcPr>
          <w:p>
            <w:pPr>
              <w:pStyle w:val="TableParagraph"/>
              <w:tabs>
                <w:tab w:pos="1350" w:val="left" w:leader="none"/>
                <w:tab w:pos="2521" w:val="left" w:leader="none"/>
              </w:tabs>
              <w:spacing w:line="240" w:lineRule="auto" w:before="0" w:after="0"/>
              <w:ind w:left="88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Integridade e disponibilidade dos sistemas embarcados; risco R05 (alto), com impacto potencial crítico sobre segurança operacional.</w:t>
            </w:r>
          </w:p>
        </w:tc>
        <w:tc>
          <w:tcPr>
            <w:tcW w:w="3634" w:type="dxa"/>
            <w:shd w:val="clear" w:color="auto" w:fill="F7F8F9"/>
            <w:vAlign w:val="top"/>
          </w:tcPr>
          <w:p>
            <w:pPr>
              <w:pStyle w:val="TableParagraph"/>
              <w:spacing w:line="240" w:lineRule="auto" w:before="0" w:after="0"/>
              <w:ind w:left="88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Responsáveis: engenharia aeronáutica e manutenção, com suporte autorizado. Confirmar interfaces, condições de isolamento e testes de validação.</w:t>
            </w:r>
          </w:p>
        </w:tc>
      </w:tr>
      <w:tr>
        <w:trPr/>
        <w:tc>
          <w:tcPr>
            <w:tcW w:w="2434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Reservas</w:t>
            </w:r>
            <w:r>
              <w:rPr>
                <w:rFonts w:ascii="Times New Roman" w:hAnsi="Times New Roman"/>
                <w:spacing w:val="3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/</w:t>
            </w:r>
            <w:r>
              <w:rPr>
                <w:rFonts w:ascii="Times New Roman" w:hAnsi="Times New Roman"/>
                <w:spacing w:val="3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emissão</w:t>
            </w:r>
            <w:r>
              <w:rPr>
                <w:rFonts w:ascii="Times New Roman" w:hAnsi="Times New Roman"/>
                <w:spacing w:val="3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 </w:t>
            </w:r>
            <w:r>
              <w:rPr>
                <w:rFonts w:ascii="Times New Roman" w:hAnsi="Times New Roman"/>
                <w:spacing w:val="-2"/>
                <w:sz w:val="20"/>
              </w:rPr>
              <w:t>passagens</w:t>
            </w:r>
          </w:p>
        </w:tc>
        <w:tc>
          <w:tcPr>
            <w:tcW w:w="357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76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Disponibilidade do sistema de reservas sob R01 (crítico); integridade da emissão e legitimidade das transações GDS </w:t>
            </w:r>
            <w:r>
              <w:rPr>
                <w:rFonts w:ascii="Times New Roman" w:hAnsi="Times New Roman"/>
                <w:spacing w:val="-2"/>
                <w:sz w:val="20"/>
              </w:rPr>
              <w:t>sob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R02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(crítico).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Eventos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distintos.</w:t>
            </w:r>
          </w:p>
        </w:tc>
        <w:tc>
          <w:tcPr>
            <w:tcW w:w="363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Responsáveis: gestão de reservas e TI. Confirmar ligação com GDS, autenticação, base de dados, conectividade e cópias verificadas.</w:t>
            </w:r>
          </w:p>
        </w:tc>
      </w:tr>
      <w:tr>
        <w:trPr/>
        <w:tc>
          <w:tcPr>
            <w:tcW w:w="2434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Infraestrutura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local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 </w:t>
            </w:r>
            <w:r>
              <w:rPr>
                <w:rFonts w:ascii="Times New Roman" w:hAnsi="Times New Roman"/>
                <w:spacing w:val="-6"/>
                <w:sz w:val="20"/>
              </w:rPr>
              <w:t>TI</w:t>
            </w:r>
          </w:p>
        </w:tc>
        <w:tc>
          <w:tcPr>
            <w:tcW w:w="3574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Conjunto dos 50 servidores </w:t>
            </w:r>
            <w:r>
              <w:rPr>
                <w:rFonts w:ascii="Times New Roman" w:hAnsi="Times New Roman"/>
                <w:sz w:val="20"/>
              </w:rPr>
              <w:t>locais que dão suporte aos serviços internos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eventualmente</w:t>
            </w:r>
            <w:r>
              <w:rPr>
                <w:rFonts w:ascii="Times New Roman" w:hAnsi="Times New Roman"/>
                <w:spacing w:val="-1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serviços </w:t>
            </w:r>
            <w:r>
              <w:rPr>
                <w:rFonts w:ascii="Times New Roman" w:hAnsi="Times New Roman"/>
                <w:spacing w:val="-2"/>
                <w:sz w:val="20"/>
              </w:rPr>
              <w:t>críticos.</w:t>
            </w:r>
          </w:p>
        </w:tc>
        <w:tc>
          <w:tcPr>
            <w:tcW w:w="3634" w:type="dxa"/>
            <w:shd w:val="clear" w:color="auto" w:fill="F7F8F9"/>
            <w:vAlign w:val="top"/>
          </w:tcPr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Responsável: TI mapear quais servidores e serviços efetivamente sustentam reservas, gerenciamento ou outras funções; não presumir uso idêntico.</w:t>
            </w:r>
          </w:p>
        </w:tc>
      </w:tr>
      <w:tr>
        <w:trPr/>
        <w:tc>
          <w:tcPr>
            <w:tcW w:w="2434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Suporte</w:t>
            </w:r>
            <w:r>
              <w:rPr>
                <w:rFonts w:ascii="Times New Roman" w:hAnsi="Times New Roman"/>
                <w:spacing w:val="-2"/>
                <w:sz w:val="20"/>
              </w:rPr>
              <w:t> externo</w:t>
            </w:r>
          </w:p>
        </w:tc>
        <w:tc>
          <w:tcPr>
            <w:tcW w:w="357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Suporte internacional </w:t>
            </w:r>
            <w:r>
              <w:rPr>
                <w:rFonts w:ascii="Times New Roman" w:hAnsi="Times New Roman"/>
                <w:sz w:val="20"/>
              </w:rPr>
              <w:t>de navegação; risco R03 (alto) ligado a acessos de terceiros, que pode anteceder R05, sem duplicar o mesmo dano.</w:t>
            </w:r>
          </w:p>
        </w:tc>
        <w:tc>
          <w:tcPr>
            <w:tcW w:w="363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Responsáveis: TI e responsável contratual. Confirmar canais de acionamento, permissões de acesso remoto, dependências técnicas e condições contratuais.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222" w:after="0"/>
        <w:ind w:left="858" w:right="0" w:hanging="431"/>
        <w:jc w:val="both"/>
      </w:pPr>
      <w:r>
        <w:rPr/>
        <w:t>Impactos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Prioridades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Recuperação</w:t>
      </w:r>
    </w:p>
    <w:p>
      <w:pPr>
        <w:pStyle w:val="BodyText"/>
        <w:keepNext w:val="0"/>
        <w:keepLines w:val="0"/>
        <w:widowControl/>
        <w:spacing w:line="360" w:lineRule="auto" w:before="156"/>
        <w:ind w:left="427" w:right="422" w:firstLine="1132"/>
        <w:jc w:val="both"/>
      </w:pPr>
      <w:r>
        <w:rPr>
          <w:rFonts w:ascii="Times New Roman" w:hAnsi="Times New Roman"/>
          <w:sz w:val="24"/>
        </w:rPr>
        <w:t>A análise parte dos riscos da PGR: R01, R02 e R04 têm nível crítico; R03 e R05 têm nível alto. A prioridade de recuperação considera segurança operacional, paralisação dos serviços, integridade dos registros e dependências técnicas. Enquanto não houver metas quantitativas aprovadas, a ordem de recuperação permanecerá qualitativa e será validada pela direção e pelos responsáveis técnicos.</w:t>
      </w:r>
    </w:p>
    <w:p>
      <w:pPr>
        <w:pStyle w:val="BodyText"/>
        <w:keepNext w:val="0"/>
        <w:keepLines w:val="0"/>
        <w:widowControl/>
        <w:spacing w:line="360" w:lineRule="auto" w:before="99"/>
        <w:ind w:left="427" w:right="423" w:firstLine="1132"/>
        <w:jc w:val="both"/>
      </w:pPr>
      <w:r>
        <w:rPr>
          <w:rFonts w:ascii="Times New Roman" w:hAnsi="Times New Roman"/>
          <w:sz w:val="24"/>
        </w:rPr>
        <w:t>Ordem de recuperação: (1) conter os efeitos de R04 e R05 sobre a segurança de voo e eventuais consequências de R03; (2) recuperar dependências tecnológicas indispensáveis às operações autorizadas; (3) restabelecer reservas após R01 e conferir emissões ligadas a R02. R02 pode ocorrer sem parada do sistema, exigindo correção e conciliação sem uma restauração tecnológica. A ordem exata poderá mudar conforme o incidente e as dependências identificadas, pois a infraestrutura necessária pode ter de ser restaurada antes do sistema de negócio.</w:t>
      </w:r>
    </w:p>
    <w:p>
      <w:pPr>
        <w:pStyle w:val="BodyText"/>
        <w:keepNext w:val="0"/>
        <w:keepLines w:val="0"/>
        <w:widowControl/>
        <w:spacing w:line="360" w:lineRule="auto" w:before="101"/>
        <w:ind w:left="427" w:right="427" w:firstLine="1132"/>
        <w:jc w:val="both"/>
      </w:pPr>
      <w:r>
        <w:rPr>
          <w:rFonts w:ascii="Times New Roman" w:hAnsi="Times New Roman"/>
          <w:sz w:val="24"/>
        </w:rPr>
        <w:t>Os objetivos de tempo de recuperação (RTO) e de ponto de recuperação (RPO) deverão ser definidos e aprovados em conjunto com as estratégias de continuidade, backup e recuperação. Até essa aprovação, aplicam-se as prioridades qualitativas desta seção. Nenhuma prioridade autoriza a retomada das operações aéreas sem avaliação das funções competentes.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9"/>
        <w:gridCol w:w="4707"/>
        <w:gridCol w:w="2494"/>
      </w:tblGrid>
      <w:tr>
        <w:trPr/>
        <w:tc>
          <w:tcPr>
            <w:tcW w:w="2439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Processo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/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sistema</w:t>
            </w:r>
          </w:p>
        </w:tc>
        <w:tc>
          <w:tcPr>
            <w:tcW w:w="4707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Impacto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potencial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a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analisar</w:t>
            </w:r>
          </w:p>
        </w:tc>
        <w:tc>
          <w:tcPr>
            <w:tcW w:w="2494" w:type="dxa"/>
            <w:shd w:val="clear" w:color="auto" w:fill="E7ECF1"/>
            <w:vAlign w:val="center"/>
          </w:tcPr>
          <w:p>
            <w:pPr>
              <w:pStyle w:val="TableParagraph"/>
              <w:tabs>
                <w:tab w:pos="2333" w:val="left" w:leader="none"/>
              </w:tabs>
              <w:spacing w:line="240" w:lineRule="auto" w:before="0" w:after="0"/>
              <w:ind w:left="88" w:right="81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Criticidade / prioridade</w:t>
            </w:r>
          </w:p>
        </w:tc>
      </w:tr>
      <w:tr>
        <w:trPr/>
        <w:tc>
          <w:tcPr>
            <w:tcW w:w="2439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Operações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pacing w:val="-5"/>
                <w:sz w:val="20"/>
              </w:rPr>
              <w:t>voo</w:t>
            </w:r>
          </w:p>
        </w:tc>
        <w:tc>
          <w:tcPr>
            <w:tcW w:w="470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R04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—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falha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sistemas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legados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controle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 voo: probabilidade média, impacto crítico e nível crítico na PGR. Pode comprometer o suporte ao voo.</w:t>
            </w:r>
          </w:p>
        </w:tc>
        <w:tc>
          <w:tcPr>
            <w:tcW w:w="2494" w:type="dxa"/>
            <w:vAlign w:val="top"/>
          </w:tcPr>
          <w:p>
            <w:pPr>
              <w:pStyle w:val="TableParagraph"/>
              <w:tabs>
                <w:tab w:pos="2293" w:val="left" w:leader="none"/>
              </w:tabs>
              <w:spacing w:line="240" w:lineRule="auto" w:before="0" w:after="0"/>
              <w:ind w:left="88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Crítica / prioridade máxima para avaliação de segurança e decisão sobre continuidade; recuperação conforme dependências e autorização.</w:t>
            </w:r>
          </w:p>
        </w:tc>
      </w:tr>
      <w:tr>
        <w:trPr/>
        <w:tc>
          <w:tcPr>
            <w:tcW w:w="2439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Sistemas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embarcados</w:t>
            </w:r>
          </w:p>
        </w:tc>
        <w:tc>
          <w:tcPr>
            <w:tcW w:w="470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7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R05 — sistema embarcado: probabilidade baixa,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impacto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crítico,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nível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alto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na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PGR.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Exige contenção e liberação por equipe competente.</w:t>
            </w:r>
          </w:p>
        </w:tc>
        <w:tc>
          <w:tcPr>
            <w:tcW w:w="2494" w:type="dxa"/>
            <w:shd w:val="clear" w:color="auto" w:fill="F7F8F9"/>
            <w:vAlign w:val="top"/>
          </w:tcPr>
          <w:p>
            <w:pPr>
              <w:pStyle w:val="TableParagraph"/>
              <w:tabs>
                <w:tab w:pos="1520" w:val="left" w:leader="none"/>
              </w:tabs>
              <w:spacing w:line="240" w:lineRule="auto" w:before="0" w:after="0"/>
              <w:ind w:left="88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Crítica / prioridade máxima para contenção e validação técnica; não utilizar sistema suspeito até liberação competente.</w:t>
            </w:r>
          </w:p>
        </w:tc>
      </w:tr>
      <w:tr>
        <w:trPr/>
        <w:tc>
          <w:tcPr>
            <w:tcW w:w="2439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Reservas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/</w:t>
            </w:r>
            <w:r>
              <w:rPr>
                <w:rFonts w:ascii="Times New Roman" w:hAnsi="Times New Roman"/>
                <w:spacing w:val="-2"/>
                <w:sz w:val="20"/>
              </w:rPr>
              <w:t> emissão</w:t>
            </w:r>
          </w:p>
        </w:tc>
        <w:tc>
          <w:tcPr>
            <w:tcW w:w="470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R01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—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DDoS: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probabilidade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alta,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impacto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alto, risco crítico, com indisponibilidade.</w:t>
            </w:r>
          </w:p>
          <w:p>
            <w:pPr>
              <w:pStyle w:val="TableParagraph"/>
              <w:spacing w:line="240" w:lineRule="auto" w:before="0" w:after="0"/>
              <w:ind w:left="88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R02 — fraude GDS: probabilidade </w:t>
            </w:r>
            <w:r>
              <w:rPr>
                <w:rFonts w:ascii="Times New Roman" w:hAnsi="Times New Roman"/>
                <w:sz w:val="20"/>
              </w:rPr>
              <w:t>alta, impacto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alto,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risco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crítico,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podendo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ocorrer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sem </w:t>
            </w:r>
            <w:r>
              <w:rPr>
                <w:rFonts w:ascii="Times New Roman" w:hAnsi="Times New Roman"/>
                <w:spacing w:val="-2"/>
                <w:sz w:val="20"/>
              </w:rPr>
              <w:t>interrupção.</w:t>
            </w:r>
          </w:p>
        </w:tc>
        <w:tc>
          <w:tcPr>
            <w:tcW w:w="2494" w:type="dxa"/>
            <w:vAlign w:val="top"/>
          </w:tcPr>
          <w:p>
            <w:pPr>
              <w:pStyle w:val="TableParagraph"/>
              <w:tabs>
                <w:tab w:pos="1155" w:val="left" w:leader="none"/>
                <w:tab w:pos="1441" w:val="left" w:leader="none"/>
                <w:tab w:pos="1493" w:val="left" w:leader="none"/>
                <w:tab w:pos="1640" w:val="left" w:leader="none"/>
                <w:tab w:pos="2293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Alta / prioridade após assegurar segurança operacional e dependências essenciais; recuperar serviço e conferir registros.</w:t>
            </w:r>
          </w:p>
        </w:tc>
      </w:tr>
      <w:tr>
        <w:trPr/>
        <w:tc>
          <w:tcPr>
            <w:tcW w:w="2439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Infraestrutura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pacing w:val="-4"/>
                <w:sz w:val="20"/>
              </w:rPr>
              <w:t>local</w:t>
            </w:r>
          </w:p>
        </w:tc>
        <w:tc>
          <w:tcPr>
            <w:tcW w:w="470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Falha da infraestrutura pode </w:t>
            </w:r>
            <w:r>
              <w:rPr>
                <w:rFonts w:ascii="Times New Roman" w:hAnsi="Times New Roman"/>
                <w:sz w:val="20"/>
              </w:rPr>
              <w:t>prejudicar processos ligados a R01–R05, conforme dependência confirmada. Não há risco independente para servidores na PGR.</w:t>
            </w:r>
          </w:p>
        </w:tc>
        <w:tc>
          <w:tcPr>
            <w:tcW w:w="2494" w:type="dxa"/>
            <w:shd w:val="clear" w:color="auto" w:fill="F7F8F9"/>
            <w:vAlign w:val="top"/>
          </w:tcPr>
          <w:p>
            <w:pPr>
              <w:pStyle w:val="TableParagraph"/>
              <w:tabs>
                <w:tab w:pos="1654" w:val="left" w:leader="none"/>
                <w:tab w:pos="2188" w:val="left" w:leader="none"/>
              </w:tabs>
              <w:spacing w:line="240" w:lineRule="auto" w:before="0" w:after="0"/>
              <w:ind w:left="88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Variável: crítica quando sustenta funções prioritárias; recuperar primeiro os componentes dos quais outros serviços dependam.</w:t>
            </w:r>
          </w:p>
        </w:tc>
      </w:tr>
    </w:tbl>
    <w:p>
      <w:pPr>
        <w:pStyle w:val="TableParagraph"/>
        <w:keepNext w:val="0"/>
        <w:keepLines w:val="0"/>
        <w:widowControl/>
        <w:spacing w:after="0" w:line="360" w:lineRule="auto"/>
        <w:jc w:val="both"/>
        <w:rPr>
          <w:sz w:val="24"/>
        </w:rPr>
        <w:sectPr>
          <w:pgSz w:w="11910" w:h="16840"/>
          <w:pgMar w:header="0" w:footer="538" w:top="1660" w:bottom="760" w:left="1275" w:right="708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60" w:after="0"/>
        <w:ind w:left="858" w:right="0" w:hanging="431"/>
        <w:jc w:val="both"/>
      </w:pPr>
      <w:r>
        <w:rPr/>
        <w:t>Estratégias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Continuidade</w:t>
      </w:r>
    </w:p>
    <w:p>
      <w:pPr>
        <w:pStyle w:val="BodyText"/>
        <w:keepNext w:val="0"/>
        <w:keepLines w:val="0"/>
        <w:widowControl/>
        <w:spacing w:line="360" w:lineRule="auto" w:before="156"/>
        <w:ind w:left="427" w:right="422" w:firstLine="1132"/>
        <w:jc w:val="both"/>
      </w:pPr>
      <w:r>
        <w:rPr>
          <w:rFonts w:ascii="Times New Roman" w:hAnsi="Times New Roman"/>
          <w:sz w:val="24"/>
        </w:rPr>
        <w:t>As estratégias definidas buscam manter as atividades essenciais ou recuperar os serviços com segurança, considerando as prioridades da seção 3 e os riscos R01–R05 da PGR. A equipe interna de TI, os 50 servidores locais e o suporte internacional ao software de navegação integram o planejamento. As cópias offline, a proteção contra DDoS, os canais alternativos e os procedimentos de contingência devem ser implantados, mantidos e testados antes de serem considerados disponíveis para acionamento.</w:t>
      </w:r>
    </w:p>
    <w:p>
      <w:pPr>
        <w:pStyle w:val="BodyText"/>
        <w:keepNext w:val="0"/>
        <w:keepLines w:val="0"/>
        <w:widowControl/>
        <w:spacing w:before="7" w:after="1"/>
        <w:rPr>
          <w:sz w:val="8"/>
        </w:rPr>
      </w:pPr>
    </w:p>
    <w:tbl>
      <w:tblPr>
        <w:tblW w:w="0" w:type="auto"/>
        <w:jc w:val="left"/>
        <w:tblInd w:w="13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6"/>
        <w:gridCol w:w="3841"/>
        <w:gridCol w:w="3126"/>
      </w:tblGrid>
      <w:tr>
        <w:trPr/>
        <w:tc>
          <w:tcPr>
            <w:tcW w:w="2696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Estratégia</w:t>
            </w:r>
          </w:p>
        </w:tc>
        <w:tc>
          <w:tcPr>
            <w:tcW w:w="3841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Aplicação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inicial</w:t>
            </w:r>
          </w:p>
        </w:tc>
        <w:tc>
          <w:tcPr>
            <w:tcW w:w="3126" w:type="dxa"/>
            <w:shd w:val="clear" w:color="auto" w:fill="E7ECF1"/>
            <w:vAlign w:val="center"/>
          </w:tcPr>
          <w:p>
            <w:pPr>
              <w:pStyle w:val="TableParagraph"/>
              <w:spacing w:line="240" w:lineRule="auto" w:before="0" w:after="0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Recursos, responsáveis e limitações</w:t>
            </w:r>
          </w:p>
        </w:tc>
      </w:tr>
      <w:tr>
        <w:trPr/>
        <w:tc>
          <w:tcPr>
            <w:tcW w:w="2696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309" w:val="left" w:leader="none"/>
                <w:tab w:pos="2499" w:val="left" w:leader="none"/>
              </w:tabs>
              <w:spacing w:line="240" w:lineRule="auto" w:before="0" w:after="0"/>
              <w:ind w:left="91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Cópias offline e restauração testada</w:t>
            </w:r>
          </w:p>
        </w:tc>
        <w:tc>
          <w:tcPr>
            <w:tcW w:w="384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Recuperar dados das reservas </w:t>
            </w:r>
            <w:r>
              <w:rPr>
                <w:rFonts w:ascii="Times New Roman" w:hAnsi="Times New Roman"/>
                <w:sz w:val="20"/>
              </w:rPr>
              <w:t>quando a integridade ou disponibilidade das cópias operacionais for afetada.</w:t>
            </w:r>
          </w:p>
        </w:tc>
        <w:tc>
          <w:tcPr>
            <w:tcW w:w="3126" w:type="dxa"/>
            <w:vAlign w:val="top"/>
          </w:tcPr>
          <w:p>
            <w:pPr>
              <w:pStyle w:val="TableParagraph"/>
              <w:spacing w:line="240" w:lineRule="auto" w:before="0" w:after="0"/>
              <w:ind w:left="87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Frequência: cópia incremental diária e cópia completa semanal. Manter ao menos uma cópia offline desconectada da rede, com acesso restrito e proteção adequada. Testar a restauração trimestralmente em ambiente separado. Responsáveis: TI e gestão de reservas. Limite: o backup não elimina um ataque DDoS e só deve ser restaurado após verificar a integridade.</w:t>
            </w:r>
          </w:p>
        </w:tc>
      </w:tr>
      <w:tr>
        <w:trPr/>
        <w:tc>
          <w:tcPr>
            <w:tcW w:w="2696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2378" w:val="left" w:leader="none"/>
              </w:tabs>
              <w:spacing w:before="0" w:after="0" w:line="240" w:lineRule="auto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Tratamento da indisponibilidade por DDoS</w:t>
            </w:r>
          </w:p>
        </w:tc>
        <w:tc>
          <w:tcPr>
            <w:tcW w:w="3841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Manter ou recuperar acesso </w:t>
            </w:r>
            <w:r>
              <w:rPr>
                <w:rFonts w:ascii="Times New Roman" w:hAnsi="Times New Roman"/>
                <w:sz w:val="20"/>
              </w:rPr>
              <w:t>às reservas com suporte técnico e estratégia compatível com a ameaça.</w:t>
            </w:r>
          </w:p>
        </w:tc>
        <w:tc>
          <w:tcPr>
            <w:tcW w:w="3126" w:type="dxa"/>
            <w:shd w:val="clear" w:color="auto" w:fill="F7F8F9"/>
            <w:vAlign w:val="top"/>
          </w:tcPr>
          <w:p>
            <w:pPr>
              <w:pStyle w:val="TableParagraph"/>
              <w:tabs>
                <w:tab w:pos="1678" w:val="left" w:leader="none"/>
              </w:tabs>
              <w:spacing w:line="240" w:lineRule="auto" w:before="0" w:after="0"/>
              <w:ind w:left="87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Meios: proteção anti-DDoS e filtragem de tráfego com o provedor ou serviço especializado, monitoramento e canal alternativo para orientar o atendimento. Responsáveis: TI, provedor e gestão de reservas. Limite: a mitigação depende da capacidade contratada e não garante que não haverá indisponibilidade; backup sozinho não bloqueia o ataque.</w:t>
            </w:r>
          </w:p>
        </w:tc>
      </w:tr>
      <w:tr>
        <w:trPr/>
        <w:tc>
          <w:tcPr>
            <w:tcW w:w="2696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2190" w:val="left" w:leader="none"/>
              </w:tabs>
              <w:spacing w:line="240" w:lineRule="auto" w:before="0" w:after="0"/>
              <w:ind w:left="91" w:right="7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Alternativa durante falha de sistemas legados de controle de voo</w:t>
            </w:r>
          </w:p>
        </w:tc>
        <w:tc>
          <w:tcPr>
            <w:tcW w:w="384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Preservar as atividades </w:t>
            </w:r>
            <w:r>
              <w:rPr>
                <w:rFonts w:ascii="Times New Roman" w:hAnsi="Times New Roman"/>
                <w:sz w:val="20"/>
              </w:rPr>
              <w:t>possíveis durante indisponibilidade dos sistemas legados de controle de voo.</w:t>
            </w:r>
          </w:p>
        </w:tc>
        <w:tc>
          <w:tcPr>
            <w:tcW w:w="3126" w:type="dxa"/>
            <w:vAlign w:val="top"/>
          </w:tcPr>
          <w:p>
            <w:pPr>
              <w:pStyle w:val="TableParagraph"/>
              <w:tabs>
                <w:tab w:pos="2125" w:val="left" w:leader="none"/>
              </w:tabs>
              <w:spacing w:line="240" w:lineRule="auto" w:before="0" w:after="0"/>
              <w:ind w:left="87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Definir procedimento de contingência aprovado pela gestão de operações, com participação das funções técnicas pertinentes. Só continuar as atividades autorizadas quando as informações operacionais estiverem atuais, íntegras e verificadas, com comunicação e autorizações necessárias. Recurso: procedimento documentado e canal alternativo validado. Limite: não realizar atividade que dependa de informação essencial indisponível ou duvidosa.</w:t>
            </w:r>
          </w:p>
        </w:tc>
      </w:tr>
      <w:tr>
        <w:trPr/>
        <w:tc>
          <w:tcPr>
            <w:tcW w:w="2696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405" w:val="left" w:leader="none"/>
                <w:tab w:pos="2376" w:val="left" w:leader="none"/>
              </w:tabs>
              <w:spacing w:line="240" w:lineRule="auto" w:before="0" w:after="0"/>
              <w:ind w:left="91" w:right="7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Contenção técnica de comprometimento</w:t>
            </w:r>
          </w:p>
        </w:tc>
        <w:tc>
          <w:tcPr>
            <w:tcW w:w="3841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621" w:val="left" w:leader="none"/>
                <w:tab w:pos="3333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Restringir o comprometimento e recuperar integridade com participação das equipes competentes.</w:t>
            </w:r>
          </w:p>
        </w:tc>
        <w:tc>
          <w:tcPr>
            <w:tcW w:w="3126" w:type="dxa"/>
            <w:shd w:val="clear" w:color="auto" w:fill="F7F8F9"/>
            <w:vAlign w:val="top"/>
          </w:tcPr>
          <w:p>
            <w:pPr>
              <w:pStyle w:val="TableParagraph"/>
              <w:tabs>
                <w:tab w:pos="2165" w:val="left" w:leader="none"/>
              </w:tabs>
              <w:spacing w:line="240" w:lineRule="auto" w:before="0" w:after="0"/>
              <w:ind w:left="87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Acionar diante de indício confiável de acesso não autorizado, alteração inesperada ou perda de integridade. TI e funções técnicas/operacionais devem restringir o acesso ou isolar o componente apenas conforme procedimento autorizado, preservar evidências e recuperar por método aprovado. Liberar somente após testes e aprovação competente. Se envolver fornecedor, coordenar também com C03/R03. Limite: não improvisar ações que possam afetar a segurança operacional.</w:t>
            </w:r>
          </w:p>
        </w:tc>
      </w:tr>
      <w:tr>
        <w:trPr/>
        <w:tc>
          <w:tcPr>
            <w:tcW w:w="2696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Comunicação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alternativa</w:t>
            </w:r>
          </w:p>
        </w:tc>
        <w:tc>
          <w:tcPr>
            <w:tcW w:w="384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Manter</w:t>
            </w:r>
            <w:r>
              <w:rPr>
                <w:rFonts w:ascii="Times New Roman" w:hAnsi="Times New Roman"/>
                <w:spacing w:val="3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coordenação</w:t>
            </w:r>
            <w:r>
              <w:rPr>
                <w:rFonts w:ascii="Times New Roman" w:hAnsi="Times New Roman"/>
                <w:spacing w:val="3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quando</w:t>
            </w:r>
            <w:r>
              <w:rPr>
                <w:rFonts w:ascii="Times New Roman" w:hAnsi="Times New Roman"/>
                <w:spacing w:val="3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</w:t>
            </w:r>
            <w:r>
              <w:rPr>
                <w:rFonts w:ascii="Times New Roman" w:hAnsi="Times New Roman"/>
                <w:spacing w:val="3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canal principal falhar.</w:t>
            </w:r>
          </w:p>
        </w:tc>
        <w:tc>
          <w:tcPr>
            <w:tcW w:w="3126" w:type="dxa"/>
            <w:vAlign w:val="top"/>
          </w:tcPr>
          <w:p>
            <w:pPr>
              <w:pStyle w:val="TableParagraph"/>
              <w:tabs>
                <w:tab w:pos="1723" w:val="left" w:leader="none"/>
              </w:tabs>
              <w:spacing w:line="240" w:lineRule="auto" w:before="0" w:after="0"/>
              <w:ind w:left="87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Manter canal corporativo principal e definir um canal alternativo independente e aprovado, com lista de contatos atualizada e acesso restrito. Responsáveis: coordenação do PCN, TI e função de comunicação. Testar o canal periodicamente e registrar o resultado. Limite: não compartilhar informações sensíveis em meios não autorizados; a lista de contatos e canais deve permanecer atualizada e disponível à Coordenação do PCN.</w:t>
            </w:r>
          </w:p>
        </w:tc>
      </w:tr>
    </w:tbl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86"/>
      </w:pPr>
    </w:p>
    <w:p>
      <w:pPr>
        <w:pStyle w:val="Heading1"/>
        <w:numPr>
          <w:ilvl w:val="1"/>
          <w:numId w:val="1"/>
        </w:numPr>
        <w:tabs>
          <w:tab w:pos="1002" w:val="left" w:leader="none"/>
        </w:tabs>
        <w:spacing w:line="240" w:lineRule="auto" w:before="0" w:after="0"/>
        <w:ind w:left="1002" w:right="0" w:hanging="575"/>
        <w:jc w:val="both"/>
      </w:pPr>
      <w:r>
        <w:rPr/>
        <w:t>Continuidade operacional durante falha de sistemas legados de controle de voo</w:t>
      </w:r>
      <w:r>
        <w:rPr>
          <w:spacing w:val="-2"/>
        </w:rPr>
        <w:t/>
      </w:r>
      <w:r>
        <w:rPr/>
        <w:t/>
      </w:r>
      <w:r>
        <w:rPr>
          <w:spacing w:val="-1"/>
        </w:rPr>
        <w:t/>
      </w:r>
      <w:r>
        <w:rPr/>
        <w:t/>
      </w:r>
      <w:r>
        <w:rPr>
          <w:spacing w:val="-1"/>
        </w:rPr>
        <w:t/>
      </w:r>
      <w:r>
        <w:rPr/>
        <w:t/>
      </w:r>
      <w:r>
        <w:rPr>
          <w:spacing w:val="-1"/>
        </w:rPr>
        <w:t/>
      </w:r>
      <w:r>
        <w:rPr>
          <w:spacing w:val="-2"/>
        </w:rPr>
        <w:t/>
      </w:r>
    </w:p>
    <w:p>
      <w:pPr>
        <w:pStyle w:val="BodyText"/>
        <w:keepNext w:val="0"/>
        <w:keepLines w:val="0"/>
        <w:widowControl/>
        <w:spacing w:line="360" w:lineRule="auto" w:before="154"/>
        <w:ind w:left="427" w:right="430" w:firstLine="1132"/>
        <w:jc w:val="both"/>
      </w:pPr>
      <w:r>
        <w:rPr/>
        <w:t>A recuperação por backup não resolve todo incidente: a restauração de uma cópia não elimina, por si só, um ataque DDoS ainda ativo. Por isso, a resposta deve combinar a mitigação da indisponibilidade com a recuperação dos dados, quando necessária.</w:t>
      </w:r>
    </w:p>
    <w:p>
      <w:pPr>
        <w:pStyle w:val="BodyText"/>
        <w:keepNext w:val="0"/>
        <w:keepLines w:val="0"/>
        <w:widowControl/>
        <w:spacing w:line="360" w:lineRule="auto" w:before="99"/>
        <w:ind w:left="427" w:right="428" w:firstLine="1132"/>
        <w:jc w:val="both"/>
      </w:pPr>
      <w:r>
        <w:rPr/>
        <w:t>Continuidade dos voos durante falha de sistemas legados de controle de voo: antes de utilizar uma alternativa, devem estar identificadas as informações e autorizações indispensáveis, as atividades que podem continuar e aquelas que devem aguardar a recuperação. A decisão cabe às funções operacionais competentes; procedimentos manuais, por si só, não autorizam a realização de voos.</w:t>
      </w:r>
    </w:p>
    <w:p>
      <w:pPr>
        <w:pStyle w:val="BodyText"/>
        <w:keepNext w:val="0"/>
        <w:keepLines w:val="0"/>
        <w:widowControl/>
        <w:spacing w:line="360" w:lineRule="auto" w:before="101"/>
        <w:ind w:left="427" w:right="421" w:firstLine="1132"/>
        <w:jc w:val="both"/>
      </w:pPr>
      <w:r>
        <w:rPr>
          <w:rFonts w:ascii="Times New Roman" w:hAnsi="Times New Roman"/>
          <w:sz w:val="24"/>
        </w:rPr>
        <w:t>R04 — sistemas legados de controle de voo: a continuidade deve considerar as dependências entre os sistemas legados de controle de voo e os demais sistemas. Essas relações devem ser registradas no inventário de dependências; não se presume que uma falha no sistema legado cause automaticamente indisponibilidade das reservas.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pgSz w:w="11910" w:h="16840"/>
          <w:pgMar w:header="0" w:footer="538" w:top="1660" w:bottom="760" w:left="1275" w:right="708"/>
        </w:sectPr>
      </w:pPr>
    </w:p>
    <w:p>
      <w:pPr>
        <w:pStyle w:val="BodyText"/>
        <w:keepNext w:val="0"/>
        <w:keepLines w:val="0"/>
        <w:widowControl/>
        <w:spacing w:before="8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7"/>
        <w:gridCol w:w="6124"/>
      </w:tblGrid>
      <w:tr>
        <w:trPr/>
        <w:tc>
          <w:tcPr>
            <w:tcW w:w="3517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Decisão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operacional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/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técnica</w:t>
            </w:r>
          </w:p>
        </w:tc>
        <w:tc>
          <w:tcPr>
            <w:tcW w:w="6124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Decisão</w:t>
            </w:r>
          </w:p>
        </w:tc>
      </w:tr>
      <w:tr>
        <w:trPr/>
        <w:tc>
          <w:tcPr>
            <w:tcW w:w="351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Atividade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mínima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preservar</w:t>
            </w:r>
          </w:p>
        </w:tc>
        <w:tc>
          <w:tcPr>
            <w:tcW w:w="612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Preservar a continuidade das atividades de voo que estejam autorizadas e possam ser realizadas com segurança. </w:t>
            </w:r>
            <w:r>
              <w:rPr>
                <w:rFonts w:ascii="Times New Roman" w:hAnsi="Times New Roman"/>
                <w:sz w:val="20"/>
              </w:rPr>
              <w:t>As informações operacionais essenciais devem estar atuais, íntegras e verificadas; a decisão cabe às funções operacionais </w:t>
            </w:r>
            <w:r>
              <w:rPr>
                <w:rFonts w:ascii="Times New Roman" w:hAnsi="Times New Roman"/>
                <w:spacing w:val="-2"/>
                <w:sz w:val="20"/>
              </w:rPr>
              <w:t>competentes.</w:t>
            </w:r>
          </w:p>
        </w:tc>
      </w:tr>
      <w:tr>
        <w:trPr/>
        <w:tc>
          <w:tcPr>
            <w:tcW w:w="351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Condição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usar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 </w:t>
            </w:r>
            <w:r>
              <w:rPr>
                <w:rFonts w:ascii="Times New Roman" w:hAnsi="Times New Roman"/>
                <w:spacing w:val="-2"/>
                <w:sz w:val="20"/>
              </w:rPr>
              <w:t>alternativa</w:t>
            </w:r>
          </w:p>
        </w:tc>
        <w:tc>
          <w:tcPr>
            <w:tcW w:w="6124" w:type="dxa"/>
            <w:shd w:val="clear" w:color="auto" w:fill="F7F8F9"/>
            <w:vAlign w:val="top"/>
          </w:tcPr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Usar a alternativa somente após avaliação técnica da TI e aprovação da autoridade operacional competente. Suspender </w:t>
            </w:r>
            <w:r>
              <w:rPr>
                <w:rFonts w:ascii="Times New Roman" w:hAnsi="Times New Roman"/>
                <w:spacing w:val="-2"/>
                <w:sz w:val="20"/>
              </w:rPr>
              <w:t>as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atividades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que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dependam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de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dados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ausentes,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desatualizados, </w:t>
            </w:r>
            <w:r>
              <w:rPr>
                <w:rFonts w:ascii="Times New Roman" w:hAnsi="Times New Roman"/>
                <w:sz w:val="20"/>
              </w:rPr>
              <w:t>inconsistentes ou cuja integridade esteja sob suspeita.</w:t>
            </w:r>
          </w:p>
        </w:tc>
      </w:tr>
      <w:tr>
        <w:trPr/>
        <w:tc>
          <w:tcPr>
            <w:tcW w:w="351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Recurso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necessário 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sua </w:t>
            </w:r>
            <w:r>
              <w:rPr>
                <w:rFonts w:ascii="Times New Roman" w:hAnsi="Times New Roman"/>
                <w:spacing w:val="-2"/>
                <w:sz w:val="20"/>
              </w:rPr>
              <w:t>situação</w:t>
            </w:r>
          </w:p>
        </w:tc>
        <w:tc>
          <w:tcPr>
            <w:tcW w:w="612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Recurso: procedimento de contingência aprovado, informações operacionais confiáveis e canal alternativo validado. A Coordenação do PCN deve verificar periodicamente a disponibilidade dos recursos, os responsáveis e as condições de uso.</w:t>
            </w:r>
          </w:p>
        </w:tc>
      </w:tr>
      <w:tr>
        <w:trPr/>
        <w:tc>
          <w:tcPr>
            <w:tcW w:w="351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100" w:val="left" w:leader="none"/>
                <w:tab w:pos="1779" w:val="left" w:leader="none"/>
                <w:tab w:pos="3179" w:val="left" w:leader="none"/>
              </w:tabs>
              <w:spacing w:line="240" w:lineRule="auto" w:before="0" w:after="0"/>
              <w:ind w:left="88" w:right="85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Critério para interromper ou retomar</w:t>
            </w:r>
          </w:p>
        </w:tc>
        <w:tc>
          <w:tcPr>
            <w:tcW w:w="6124" w:type="dxa"/>
            <w:shd w:val="clear" w:color="auto" w:fill="F7F8F9"/>
            <w:vAlign w:val="top"/>
          </w:tcPr>
          <w:p>
            <w:pPr>
              <w:pStyle w:val="TableParagraph"/>
              <w:spacing w:line="240" w:lineRule="auto" w:before="0" w:after="0"/>
              <w:ind w:left="88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Interromper a alternativa se faltar informação essencial, houver suspeita de comprometimento, falhar a comunicação necessária ou a função técnica/operacional não autorizar a continuidade. Retomar apenas depois de controlar a causa, validar os recursos e obter liberação formal.</w:t>
            </w:r>
          </w:p>
        </w:tc>
      </w:tr>
      <w:tr>
        <w:trPr/>
        <w:tc>
          <w:tcPr>
            <w:tcW w:w="351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Retorno ao funcionamento normal dos sistemas legados de controle de voo</w:t>
            </w:r>
            <w:r>
              <w:rPr>
                <w:rFonts w:ascii="Times New Roman" w:hAnsi="Times New Roman"/>
                <w:spacing w:val="-2"/>
                <w:sz w:val="20"/>
              </w:rPr>
              <w:t/>
            </w:r>
            <w:r>
              <w:rPr>
                <w:rFonts w:ascii="Times New Roman" w:hAnsi="Times New Roman"/>
                <w:sz w:val="20"/>
              </w:rPr>
              <w:t/>
            </w:r>
            <w:r>
              <w:rPr>
                <w:rFonts w:ascii="Times New Roman" w:hAnsi="Times New Roman"/>
                <w:spacing w:val="-1"/>
                <w:sz w:val="20"/>
              </w:rPr>
              <w:t/>
            </w:r>
            <w:r>
              <w:rPr>
                <w:rFonts w:ascii="Times New Roman" w:hAnsi="Times New Roman"/>
                <w:sz w:val="20"/>
              </w:rPr>
              <w:t/>
            </w:r>
            <w:r>
              <w:rPr>
                <w:rFonts w:ascii="Times New Roman" w:hAnsi="Times New Roman"/>
                <w:spacing w:val="-1"/>
                <w:sz w:val="20"/>
              </w:rPr>
              <w:t/>
            </w:r>
            <w:r>
              <w:rPr>
                <w:rFonts w:ascii="Times New Roman" w:hAnsi="Times New Roman"/>
                <w:spacing w:val="-2"/>
                <w:sz w:val="20"/>
              </w:rPr>
              <w:t/>
            </w:r>
          </w:p>
        </w:tc>
        <w:tc>
          <w:tcPr>
            <w:tcW w:w="612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Restabelecer o funcionamento normal dos sistemas legados de controle de voo após testá-los,</w:t>
            </w:r>
            <w:r>
              <w:rPr>
                <w:rFonts w:ascii="Times New Roman" w:hAnsi="Times New Roman"/>
                <w:spacing w:val="-2"/>
                <w:sz w:val="20"/>
              </w:rPr>
              <w:t/>
            </w:r>
            <w:r>
              <w:rPr>
                <w:rFonts w:ascii="Times New Roman" w:hAnsi="Times New Roman"/>
                <w:sz w:val="20"/>
              </w:rPr>
              <w:t/>
            </w:r>
            <w:r>
              <w:rPr>
                <w:rFonts w:ascii="Times New Roman" w:hAnsi="Times New Roman"/>
                <w:spacing w:val="-1"/>
                <w:sz w:val="20"/>
              </w:rPr>
              <w:t/>
            </w:r>
            <w:r>
              <w:rPr>
                <w:rFonts w:ascii="Times New Roman" w:hAnsi="Times New Roman"/>
                <w:sz w:val="20"/>
              </w:rPr>
              <w:t/>
            </w:r>
            <w:r>
              <w:rPr>
                <w:rFonts w:ascii="Times New Roman" w:hAnsi="Times New Roman"/>
                <w:spacing w:val="-1"/>
                <w:sz w:val="20"/>
              </w:rPr>
              <w:t/>
            </w:r>
            <w:r>
              <w:rPr>
                <w:rFonts w:ascii="Times New Roman" w:hAnsi="Times New Roman"/>
                <w:sz w:val="20"/>
              </w:rPr>
              <w:t/>
            </w:r>
            <w:r>
              <w:rPr>
                <w:rFonts w:ascii="Times New Roman" w:hAnsi="Times New Roman"/>
                <w:spacing w:val="-1"/>
                <w:sz w:val="20"/>
              </w:rPr>
              <w:t/>
            </w:r>
            <w:r>
              <w:rPr>
                <w:rFonts w:ascii="Times New Roman" w:hAnsi="Times New Roman"/>
                <w:sz w:val="20"/>
              </w:rPr>
              <w:t> conferir a integridade das informações, reconciliar registros e pendências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produzidos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durante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contingência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documentar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 autorização de retorno, o horário e os responsáveis.</w:t>
            </w:r>
          </w:p>
        </w:tc>
      </w:tr>
    </w:tbl>
    <w:p>
      <w:pPr>
        <w:pStyle w:val="BodyText"/>
        <w:keepNext w:val="0"/>
        <w:keepLines w:val="0"/>
        <w:widowControl/>
        <w:spacing w:before="160"/>
      </w:pPr>
    </w:p>
    <w:p>
      <w:pPr>
        <w:pStyle w:val="BodyText"/>
        <w:keepNext w:val="0"/>
        <w:keepLines w:val="0"/>
        <w:widowControl/>
        <w:spacing w:line="360" w:lineRule="auto"/>
        <w:ind w:left="427" w:right="350" w:firstLine="1132"/>
      </w:pPr>
      <w:r>
        <w:rPr>
          <w:rFonts w:ascii="Times New Roman" w:hAnsi="Times New Roman"/>
          <w:sz w:val="24"/>
        </w:rPr>
        <w:t>As estratégias devem permanecer alinhadas à PSI e à PGR. O controle de acesso, a comunicação de incidentes e a proteção das cópias devem seguir a PSI, e os tratamentos de R03, R04 e R05 devem permanecer coerentes com a PGR. A Coordenação do PCN deve confirmar recursos, responsáveis, fornecedores, canais e frequências. A restauração de cópias somente poderá ocorrer após a contenção da causa e a verificação da integridade dos dados.</w:t>
      </w:r>
    </w:p>
    <w:p>
      <w:pPr>
        <w:pStyle w:val="BodyText"/>
        <w:keepNext w:val="0"/>
        <w:keepLines w:val="0"/>
        <w:widowControl/>
        <w:spacing w:after="0" w:line="360" w:lineRule="auto"/>
        <w:sectPr>
          <w:pgSz w:w="11910" w:h="16840"/>
          <w:pgMar w:header="0" w:footer="538" w:top="1620" w:bottom="760" w:left="1275" w:right="708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200" w:after="0"/>
        <w:ind w:left="858" w:right="0" w:hanging="431"/>
        <w:jc w:val="both"/>
      </w:pPr>
      <w:r>
        <w:rPr/>
        <w:t>Cenários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Contingência,</w:t>
      </w:r>
      <w:r>
        <w:rPr>
          <w:spacing w:val="-2"/>
        </w:rPr>
        <w:t> </w:t>
      </w:r>
      <w:r>
        <w:rPr/>
        <w:t>Resposta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Recuperação</w:t>
      </w:r>
    </w:p>
    <w:p>
      <w:pPr>
        <w:pStyle w:val="BodyText"/>
        <w:keepNext w:val="0"/>
        <w:keepLines w:val="0"/>
        <w:widowControl/>
        <w:spacing w:line="360" w:lineRule="auto" w:before="153"/>
        <w:ind w:left="427" w:right="419" w:firstLine="1132"/>
        <w:jc w:val="both"/>
      </w:pPr>
      <w:r>
        <w:rPr/>
        <w:t>Os quatro cenários do PCN seguem um fluxo comum: identificar sinais e alcance do evento; comunicar as funções responsáveis e avaliar a ativação; conter efeitos e executar alternativas</w:t>
      </w:r>
      <w:r>
        <w:rPr>
          <w:spacing w:val="-14"/>
        </w:rPr>
        <w:t> </w:t>
      </w:r>
      <w:r>
        <w:rPr/>
        <w:t>previamente</w:t>
      </w:r>
      <w:r>
        <w:rPr>
          <w:spacing w:val="-13"/>
        </w:rPr>
        <w:t> </w:t>
      </w:r>
      <w:r>
        <w:rPr/>
        <w:t>aprovadas;</w:t>
      </w:r>
      <w:r>
        <w:rPr>
          <w:spacing w:val="-13"/>
        </w:rPr>
        <w:t> </w:t>
      </w:r>
      <w:r>
        <w:rPr/>
        <w:t>recuperar</w:t>
      </w:r>
      <w:r>
        <w:rPr>
          <w:spacing w:val="-15"/>
        </w:rPr>
        <w:t> </w:t>
      </w:r>
      <w:r>
        <w:rPr/>
        <w:t>sistemas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dados</w:t>
      </w:r>
      <w:r>
        <w:rPr>
          <w:spacing w:val="-14"/>
        </w:rPr>
        <w:t> </w:t>
      </w:r>
      <w:r>
        <w:rPr/>
        <w:t>necessários;</w:t>
      </w:r>
      <w:r>
        <w:rPr>
          <w:spacing w:val="-14"/>
        </w:rPr>
        <w:t> </w:t>
      </w:r>
      <w:r>
        <w:rPr/>
        <w:t>validar</w:t>
      </w:r>
      <w:r>
        <w:rPr>
          <w:spacing w:val="-15"/>
        </w:rPr>
        <w:t> </w:t>
      </w:r>
      <w:r>
        <w:rPr/>
        <w:t>integridade e condições operacionais; e registrar a autorização de retorno. As ocorrências devem ser registradas com horário, sistemas afetados, decisões, responsáveis, evidências e pendências.</w:t>
      </w:r>
    </w:p>
    <w:p>
      <w:pPr>
        <w:pStyle w:val="BodyText"/>
        <w:keepNext w:val="0"/>
        <w:keepLines w:val="0"/>
        <w:widowControl/>
        <w:spacing w:before="101"/>
        <w:ind w:left="1559"/>
        <w:jc w:val="both"/>
      </w:pPr>
      <w:r>
        <w:rPr/>
        <w:t>A seleção do cenário deve corresponder aos riscos da PGR e às estratégias da seção 4. C01 trata a indisponibilidade das reservas (R01). C02 e C03 tratam, respectivamente, R05 e R03. C04 coordena incidentes amplos relacionados a R01, R03 e/ou R05. O risco R04, falha de sistemas legados de controle de voo, é tratado pelas estratégias de continuidade operacional da seção 4, sem presumir ligação com as reservas. R02, fraude via GDS, demanda apuração e correção de transações e só aciona a contingência se causar uma interrupção relevante.</w:t>
      </w:r>
      <w:r>
        <w:rPr>
          <w:spacing w:val="-11"/>
        </w:rPr>
        <w:t/>
      </w:r>
      <w:r>
        <w:rPr/>
        <w:t/>
      </w:r>
      <w:r>
        <w:rPr>
          <w:spacing w:val="-8"/>
        </w:rPr>
        <w:t/>
      </w:r>
      <w:r>
        <w:rPr/>
        <w:t/>
      </w:r>
      <w:r>
        <w:rPr>
          <w:spacing w:val="-7"/>
        </w:rPr>
        <w:t/>
      </w:r>
      <w:r>
        <w:rPr/>
        <w:t/>
      </w:r>
      <w:r>
        <w:rPr>
          <w:spacing w:val="-8"/>
        </w:rPr>
        <w:t/>
      </w:r>
      <w:r>
        <w:rPr/>
        <w:t/>
      </w:r>
      <w:r>
        <w:rPr>
          <w:spacing w:val="-9"/>
        </w:rPr>
        <w:t/>
      </w:r>
      <w:r>
        <w:rPr/>
        <w:t/>
      </w:r>
      <w:r>
        <w:rPr>
          <w:spacing w:val="-7"/>
        </w:rPr>
        <w:t/>
      </w:r>
      <w:r>
        <w:rPr/>
        <w:t/>
      </w:r>
      <w:r>
        <w:rPr>
          <w:spacing w:val="-7"/>
        </w:rPr>
        <w:t/>
      </w:r>
      <w:r>
        <w:rPr/>
        <w:t/>
      </w:r>
      <w:r>
        <w:rPr>
          <w:spacing w:val="-3"/>
        </w:rPr>
        <w:t/>
      </w:r>
      <w:r>
        <w:rPr/>
        <w:t/>
      </w:r>
      <w:r>
        <w:rPr>
          <w:spacing w:val="-10"/>
        </w:rPr>
        <w:t/>
      </w:r>
      <w:r>
        <w:rPr/>
        <w:t/>
      </w:r>
      <w:r>
        <w:rPr>
          <w:spacing w:val="-7"/>
        </w:rPr>
        <w:t/>
      </w:r>
      <w:r>
        <w:rPr/>
        <w:t/>
      </w:r>
      <w:r>
        <w:rPr>
          <w:spacing w:val="-6"/>
        </w:rPr>
        <w:t/>
      </w:r>
      <w:r>
        <w:rPr/>
        <w:t/>
      </w:r>
      <w:r>
        <w:rPr>
          <w:spacing w:val="-6"/>
        </w:rPr>
        <w:t/>
      </w:r>
      <w:r>
        <w:rPr/>
        <w:t/>
      </w:r>
      <w:r>
        <w:rPr>
          <w:spacing w:val="-5"/>
        </w:rPr>
        <w:t/>
      </w:r>
      <w:r>
        <w:rPr/>
        <w:t/>
      </w:r>
      <w:r>
        <w:rPr>
          <w:spacing w:val="-9"/>
        </w:rPr>
        <w:t/>
      </w:r>
      <w:r>
        <w:rPr>
          <w:spacing w:val="-2"/>
        </w:rPr>
        <w:t/>
      </w:r>
    </w:p>
    <w:p>
      <w:pPr>
        <w:pStyle w:val="BodyText"/>
        <w:keepNext w:val="0"/>
        <w:keepLines w:val="0"/>
        <w:widowControl/>
        <w:spacing w:line="360" w:lineRule="auto" w:before="100"/>
        <w:ind w:left="427" w:right="426" w:firstLine="1132"/>
        <w:jc w:val="both"/>
      </w:pPr>
      <w:r>
        <w:rPr>
          <w:rFonts w:ascii="Times New Roman" w:hAnsi="Times New Roman"/>
          <w:sz w:val="24"/>
        </w:rPr>
        <w:t>Os IDs e classificações R01–R05 seguem a PGR. Estratégias, recursos e funções devem ser validados e mantidos atualizados pela Coordenação do PCN. Um evento pode exigir mais de um cenário, sob coordenação única, e o status de implantação de cada recurso deve ser acompanhado antes de seu uso.</w:t>
      </w:r>
    </w:p>
    <w:p>
      <w:pPr>
        <w:pStyle w:val="BodyText"/>
        <w:keepNext w:val="0"/>
        <w:keepLines w:val="0"/>
        <w:widowControl/>
        <w:spacing w:before="7" w:after="1"/>
        <w:rPr>
          <w:sz w:val="8"/>
        </w:rPr>
      </w:pPr>
    </w:p>
    <w:p>
      <w:pPr>
        <w:pStyle w:val="TableParagraph"/>
        <w:keepNext w:val="0"/>
        <w:keepLines w:val="0"/>
        <w:widowControl/>
        <w:spacing w:after="0" w:line="360" w:lineRule="auto"/>
        <w:rPr>
          <w:sz w:val="24"/>
        </w:rPr>
        <w:sectPr>
          <w:pgSz w:w="11910" w:h="16840"/>
          <w:pgMar w:header="0" w:footer="538" w:top="1620" w:bottom="1417" w:left="1275" w:right="708"/>
        </w:sectPr>
      </w:pPr>
    </w:p>
    <w:p>
      <w:pPr>
        <w:pStyle w:val="Heading1"/>
        <w:ind w:left="1003" w:firstLine="0"/>
      </w:pPr>
      <w:r>
        <w:rPr/>
        <w:t>C01</w:t>
      </w:r>
      <w:r>
        <w:rPr>
          <w:spacing w:val="-3"/>
        </w:rPr>
        <w:t> </w:t>
      </w:r>
      <w:r>
        <w:rPr/>
        <w:t>—</w:t>
      </w:r>
      <w:r>
        <w:rPr>
          <w:spacing w:val="-1"/>
        </w:rPr>
        <w:t> </w:t>
      </w:r>
      <w:r>
        <w:rPr/>
        <w:t>Indisponibilidade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reservas</w:t>
      </w:r>
    </w:p>
    <w:p>
      <w:pPr>
        <w:pStyle w:val="BodyText"/>
        <w:keepNext w:val="0"/>
        <w:keepLines w:val="0"/>
        <w:widowControl/>
        <w:spacing w:line="360" w:lineRule="auto" w:before="154"/>
        <w:ind w:left="427" w:right="424" w:firstLine="1132"/>
        <w:jc w:val="both"/>
      </w:pPr>
      <w:r>
        <w:rPr>
          <w:rFonts w:ascii="Times New Roman" w:hAnsi="Times New Roman"/>
          <w:sz w:val="24"/>
        </w:rPr>
        <w:t>Gatilho de ativação: indisponibilidade relevante das reservas, incluindo DDoS (R01: probabilidade alta, impacto alto, nível crítico). O risco R02 (fraude GDS: também crítico) não será tratado automaticamente como indisponibilidade, pois pode ocorrer enquanto o serviço permanece disponível. Eventual relação com R04 somente será considerada se a dependência entre o sistema legado e as reservas for comprovada no planejamento.</w:t>
      </w:r>
    </w:p>
    <w:p>
      <w:pPr>
        <w:pStyle w:val="BodyText"/>
        <w:keepNext w:val="0"/>
        <w:keepLines w:val="0"/>
        <w:widowControl/>
        <w:spacing w:line="360" w:lineRule="auto" w:before="100"/>
        <w:ind w:left="427" w:right="423" w:firstLine="1132"/>
        <w:jc w:val="both"/>
      </w:pPr>
      <w:r>
        <w:rPr>
          <w:rFonts w:ascii="Times New Roman" w:hAnsi="Times New Roman"/>
          <w:sz w:val="24"/>
        </w:rPr>
        <w:t>Objetivo da contingência: reduzir a interrupção do atendimento sem comprometer a integridade dos registros. O backup offline é uma estratégia de recuperação de dados e não mantém, isoladamente, o sistema de reservas disponível durante um ataque DDoS.</w:t>
      </w:r>
    </w:p>
    <w:p>
      <w:pPr>
        <w:pStyle w:val="BodyText"/>
        <w:keepNext w:val="0"/>
        <w:keepLines w:val="0"/>
        <w:widowControl/>
        <w:spacing w:line="360" w:lineRule="auto" w:before="101"/>
        <w:ind w:left="427" w:right="424" w:firstLine="1132"/>
        <w:jc w:val="both"/>
      </w:pPr>
      <w:r>
        <w:rPr>
          <w:rFonts w:ascii="Times New Roman" w:hAnsi="Times New Roman"/>
          <w:sz w:val="24"/>
        </w:rPr>
        <w:t>Critério de encerramento: serviço acessível e estável, ataque ou causa sob controle, dados e registros conferidos, pendências identificadas e retorno autorizado pela gestão de reservas com parecer técnico da TI. Devem ser preservados registros do incidente, das decisões e das conciliações realizadas.</w:t>
      </w:r>
    </w:p>
    <w:p>
      <w:pPr>
        <w:pStyle w:val="BodyText"/>
        <w:keepNext w:val="0"/>
        <w:keepLines w:val="0"/>
        <w:widowControl/>
        <w:spacing w:before="10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/>
        <w:tc>
          <w:tcPr>
            <w:tcW w:w="170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Etapa</w:t>
            </w:r>
          </w:p>
        </w:tc>
        <w:tc>
          <w:tcPr>
            <w:tcW w:w="5387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Ação</w:t>
            </w:r>
          </w:p>
        </w:tc>
        <w:tc>
          <w:tcPr>
            <w:tcW w:w="255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Detalhamento operacional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Identificar e acionar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TI confirma a falha, horário, extensão e indícios </w:t>
            </w:r>
            <w:r>
              <w:rPr>
                <w:rFonts w:ascii="Times New Roman" w:hAnsi="Times New Roman"/>
                <w:sz w:val="20"/>
              </w:rPr>
              <w:t>de DDoS; gestão de reservas informa impacto no </w:t>
            </w:r>
            <w:r>
              <w:rPr>
                <w:rFonts w:ascii="Times New Roman" w:hAnsi="Times New Roman"/>
                <w:spacing w:val="-2"/>
                <w:sz w:val="20"/>
              </w:rPr>
              <w:t>atendimento.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 e gestão </w:t>
            </w:r>
            <w:r>
              <w:rPr>
                <w:rFonts w:ascii="Times New Roman" w:hAnsi="Times New Roman"/>
                <w:sz w:val="20"/>
              </w:rPr>
              <w:t>de </w:t>
            </w:r>
            <w:r>
              <w:rPr>
                <w:rFonts w:ascii="Times New Roman" w:hAnsi="Times New Roman"/>
                <w:spacing w:val="-2"/>
                <w:sz w:val="20"/>
              </w:rPr>
              <w:t>reservas.</w:t>
            </w:r>
          </w:p>
          <w:p>
            <w:pPr>
              <w:pStyle w:val="TableParagraph"/>
              <w:tabs>
                <w:tab w:pos="2352" w:val="left" w:leader="none"/>
              </w:tabs>
              <w:spacing w:line="240" w:lineRule="auto" w:before="0" w:after="0"/>
              <w:ind w:left="87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Recurso: registros de monitoramento e chamados. Acionar a coordenação do PCN se houver interrupção relevante.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Conter e continuar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TI e provedor pertinente tratam o tráfego </w:t>
            </w:r>
            <w:r>
              <w:rPr>
                <w:rFonts w:ascii="Times New Roman" w:hAnsi="Times New Roman"/>
                <w:sz w:val="20"/>
              </w:rPr>
              <w:t>malicioso; gestão de reservas ativa atendimento alternativo apenas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houver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procedimento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recurso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previamente </w:t>
            </w:r>
            <w:r>
              <w:rPr>
                <w:rFonts w:ascii="Times New Roman" w:hAnsi="Times New Roman"/>
                <w:spacing w:val="-2"/>
                <w:sz w:val="20"/>
              </w:rPr>
              <w:t>validados.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TI, </w:t>
            </w:r>
            <w:r>
              <w:rPr>
                <w:rFonts w:ascii="Times New Roman" w:hAnsi="Times New Roman"/>
                <w:sz w:val="20"/>
              </w:rPr>
              <w:t>prestador autorizado e gestão de </w:t>
            </w:r>
            <w:r>
              <w:rPr>
                <w:rFonts w:ascii="Times New Roman" w:hAnsi="Times New Roman"/>
                <w:spacing w:val="-2"/>
                <w:sz w:val="20"/>
              </w:rPr>
              <w:t>reservas.</w:t>
            </w:r>
          </w:p>
          <w:p>
            <w:pPr>
              <w:pStyle w:val="TableParagraph"/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Critério: </w:t>
            </w:r>
            <w:r>
              <w:rPr>
                <w:rFonts w:ascii="Times New Roman" w:hAnsi="Times New Roman"/>
                <w:sz w:val="20"/>
              </w:rPr>
              <w:t>alternativa segura, com controle de dados e registro de operações pendentes.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Recuperar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Após controlar a causa, restabelecer aplicação e infraestrutura</w:t>
            </w:r>
            <w:r>
              <w:rPr>
                <w:rFonts w:ascii="Times New Roman" w:hAnsi="Times New Roman"/>
                <w:spacing w:val="-1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necessárias;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avaliar</w:t>
            </w:r>
            <w:r>
              <w:rPr>
                <w:rFonts w:ascii="Times New Roman" w:hAnsi="Times New Roman"/>
                <w:spacing w:val="-1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restauração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cópia offline verificada se os dados estiverem </w:t>
            </w:r>
            <w:r>
              <w:rPr>
                <w:rFonts w:ascii="Times New Roman" w:hAnsi="Times New Roman"/>
                <w:spacing w:val="-2"/>
                <w:sz w:val="20"/>
              </w:rPr>
              <w:t>comprometidos.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 </w:t>
            </w:r>
            <w:r>
              <w:rPr>
                <w:rFonts w:ascii="Times New Roman" w:hAnsi="Times New Roman"/>
                <w:sz w:val="20"/>
              </w:rPr>
              <w:t>e responsáveis pela base de reservas.</w:t>
            </w:r>
          </w:p>
          <w:p>
            <w:pPr>
              <w:pStyle w:val="TableParagraph"/>
              <w:spacing w:line="240" w:lineRule="auto" w:before="0" w:after="0"/>
              <w:ind w:left="87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Recursos: cópias offline testadas e ambiente apropriado. Conferir versões e pendências.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Validar e retornar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Testar disponibilidade, autenticação, </w:t>
            </w:r>
            <w:r>
              <w:rPr>
                <w:rFonts w:ascii="Times New Roman" w:hAnsi="Times New Roman"/>
                <w:sz w:val="20"/>
              </w:rPr>
              <w:t>emissão autorizada e consistência dos registros; reconciliar atividades feitas em contingência.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1392" w:val="left" w:leader="none"/>
                <w:tab w:pos="1577" w:val="left" w:leader="none"/>
                <w:tab w:pos="2349" w:val="left" w:leader="none"/>
              </w:tabs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TI valida tecnicamente; gestão de reservas valida operações e autoriza o retorno. Registrar aprovação, horário e inconsistências resolvidas.</w:t>
            </w:r>
          </w:p>
        </w:tc>
      </w:tr>
    </w:tbl>
    <w:p>
      <w:pPr>
        <w:pStyle w:val="Heading1"/>
        <w:ind w:left="1003" w:firstLine="0"/>
      </w:pPr>
      <w:r>
        <w:rPr/>
        <w:t>C02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Comprometimento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crítico</w:t>
      </w:r>
      <w:r>
        <w:rPr>
          <w:spacing w:val="-1"/>
        </w:rPr>
        <w:t> </w:t>
      </w:r>
      <w:r>
        <w:rPr/>
        <w:t>ou </w:t>
      </w:r>
      <w:r>
        <w:rPr>
          <w:spacing w:val="-2"/>
        </w:rPr>
        <w:t>embarcado</w:t>
      </w:r>
    </w:p>
    <w:p>
      <w:pPr>
        <w:pStyle w:val="BodyText"/>
        <w:keepNext w:val="0"/>
        <w:keepLines w:val="0"/>
        <w:widowControl/>
        <w:spacing w:line="360" w:lineRule="auto" w:before="154"/>
        <w:ind w:left="427" w:right="427" w:firstLine="1132"/>
        <w:jc w:val="both"/>
      </w:pPr>
      <w:r>
        <w:rPr/>
        <w:t>Este cenário será acionado quando houver indícios confiáveis de acesso não autorizado, alteração inesperada, comportamento anormal ou perda de </w:t>
      </w:r>
      <w:r>
        <w:rPr>
          <w:spacing w:val="-2"/>
        </w:rPr>
        <w:t>integridade ou disponibilidade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um</w:t>
      </w:r>
      <w:r>
        <w:rPr>
          <w:spacing w:val="-3"/>
        </w:rPr>
        <w:t> </w:t>
      </w:r>
      <w:r>
        <w:rPr>
          <w:spacing w:val="-2"/>
        </w:rPr>
        <w:t>sistema</w:t>
      </w:r>
      <w:r>
        <w:rPr>
          <w:spacing w:val="-5"/>
        </w:rPr>
        <w:t> </w:t>
      </w:r>
      <w:r>
        <w:rPr>
          <w:spacing w:val="-2"/>
        </w:rPr>
        <w:t>crítico</w:t>
      </w:r>
      <w:r>
        <w:rPr>
          <w:spacing w:val="-4"/>
        </w:rPr>
        <w:t> </w:t>
      </w:r>
      <w:r>
        <w:rPr>
          <w:spacing w:val="-2"/>
        </w:rPr>
        <w:t>ou</w:t>
      </w:r>
      <w:r>
        <w:rPr>
          <w:spacing w:val="-4"/>
        </w:rPr>
        <w:t> </w:t>
      </w:r>
      <w:r>
        <w:rPr>
          <w:spacing w:val="-2"/>
        </w:rPr>
        <w:t>embarcado</w:t>
      </w:r>
      <w:r>
        <w:rPr>
          <w:spacing w:val="-4"/>
        </w:rPr>
        <w:t> </w:t>
      </w:r>
      <w:r>
        <w:rPr>
          <w:spacing w:val="-2"/>
        </w:rPr>
        <w:t>(R05).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TI registra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4"/>
        </w:rPr>
        <w:t> </w:t>
      </w:r>
      <w:r>
        <w:rPr>
          <w:spacing w:val="-2"/>
        </w:rPr>
        <w:t>incidente </w:t>
      </w:r>
      <w:r>
        <w:rPr/>
        <w:t>e</w:t>
      </w:r>
      <w:r>
        <w:rPr>
          <w:spacing w:val="-15"/>
        </w:rPr>
        <w:t> </w:t>
      </w:r>
      <w:r>
        <w:rPr/>
        <w:t>comunica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coordenação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PCN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funções</w:t>
      </w:r>
      <w:r>
        <w:rPr>
          <w:spacing w:val="-15"/>
        </w:rPr>
        <w:t> </w:t>
      </w:r>
      <w:r>
        <w:rPr/>
        <w:t>técnicas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operacionais</w:t>
      </w:r>
      <w:r>
        <w:rPr>
          <w:spacing w:val="-15"/>
        </w:rPr>
        <w:t> </w:t>
      </w:r>
      <w:r>
        <w:rPr/>
        <w:t>responsáveis.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houver suspeita de origem no fornecedor, o cenário C03 deverá ser acionado em conjunto.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/>
        <w:tc>
          <w:tcPr>
            <w:tcW w:w="170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Etapa</w:t>
            </w:r>
          </w:p>
        </w:tc>
        <w:tc>
          <w:tcPr>
            <w:tcW w:w="5387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Ação</w:t>
            </w:r>
          </w:p>
        </w:tc>
        <w:tc>
          <w:tcPr>
            <w:tcW w:w="2552" w:type="dxa"/>
            <w:shd w:val="clear" w:color="auto" w:fill="E7ECF1"/>
            <w:vAlign w:val="center"/>
          </w:tcPr>
          <w:p>
            <w:pPr>
              <w:pStyle w:val="TableParagraph"/>
              <w:spacing w:line="240" w:lineRule="auto" w:before="0" w:after="0"/>
              <w:ind w:left="87" w:right="166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Detalhamento operacional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Identificar e acionar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Registrar o indício e envolver TI, funções técnicas e operacionais pertinentes e suporte autorizado.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tabs>
                <w:tab w:pos="2170" w:val="left" w:leader="none"/>
              </w:tabs>
              <w:spacing w:before="0" w:after="0" w:line="240" w:lineRule="auto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TI, responsável técnico e representante operacional. Recurso: inventário, alertas e registro de incidentes. Critério: indício confiável de acesso ou alteração não autorizada.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194" w:val="left" w:leader="none"/>
              </w:tabs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Conter com segurança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Definir restrições de acesso e eventual isolamento conforme procedimentos autorizados e avaliação </w:t>
            </w:r>
            <w:r>
              <w:rPr>
                <w:rFonts w:ascii="Times New Roman" w:hAnsi="Times New Roman"/>
                <w:sz w:val="20"/>
              </w:rPr>
              <w:t>da segurança operacional.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1536" w:val="left" w:leader="none"/>
                <w:tab w:pos="2350" w:val="left" w:leader="none"/>
              </w:tabs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 e responsáveis técnicos/operacionais.</w:t>
            </w:r>
          </w:p>
          <w:p>
            <w:pPr>
              <w:pStyle w:val="TableParagraph"/>
              <w:tabs>
                <w:tab w:pos="1548" w:val="left" w:leader="none"/>
                <w:tab w:pos="2072" w:val="left" w:leader="none"/>
                <w:tab w:pos="2350" w:val="left" w:leader="none"/>
              </w:tabs>
              <w:spacing w:line="240" w:lineRule="auto" w:before="0" w:after="0"/>
              <w:ind w:left="87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Recurso: procedimento aprovado de restrição de acesso ou isolamento. Critério: impedir o uso do sistema suspeito, sem comprometer a segurança operacional nem agir sem autorização competente.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Recuperar integridade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Planejar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recuperação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ou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substituição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autorizada, verificar integridade e preservar registros relevantes.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 e equipe técnica responsável; fornecedor somente se autorizado. Recursos: registros e versão ou cópia confiável, quando disponível. Critério: avaliar o alcance, corrigir ou substituir o componente por método aprovado e preservar evidências.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Validar e retornar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Submeter a solução às validações técnicas e operacionais necessárias; registrar quem autorizou </w:t>
            </w:r>
            <w:r>
              <w:rPr>
                <w:rFonts w:ascii="Times New Roman" w:hAnsi="Times New Roman"/>
                <w:sz w:val="20"/>
              </w:rPr>
              <w:t>a </w:t>
            </w:r>
            <w:r>
              <w:rPr>
                <w:rFonts w:ascii="Times New Roman" w:hAnsi="Times New Roman"/>
                <w:spacing w:val="-2"/>
                <w:sz w:val="20"/>
              </w:rPr>
              <w:t>retomada.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1316" w:val="left" w:leader="none"/>
                <w:tab w:pos="1668" w:val="left" w:leader="none"/>
                <w:tab w:pos="2349" w:val="left" w:leader="none"/>
              </w:tabs>
              <w:spacing w:line="240" w:lineRule="auto" w:before="0" w:after="0"/>
              <w:ind w:left="87" w:right="7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equipe técnica e autoridade operacional competente. Recurso: testes e lista de verificação documentados. Critério: confirmar integridade, funcionamento e segurança, registrar a liberação formal e encaminhar pendências.</w:t>
            </w:r>
          </w:p>
        </w:tc>
      </w:tr>
    </w:tbl>
    <w:p>
      <w:pPr>
        <w:pStyle w:val="BodyText"/>
        <w:keepNext w:val="0"/>
        <w:keepLines w:val="0"/>
        <w:widowControl/>
        <w:spacing w:line="360" w:lineRule="auto" w:before="24"/>
        <w:ind w:left="427" w:right="426" w:firstLine="1132"/>
        <w:jc w:val="both"/>
      </w:pPr>
      <w:r>
        <w:rPr>
          <w:rFonts w:ascii="Times New Roman" w:hAnsi="Times New Roman"/>
          <w:sz w:val="24"/>
        </w:rPr>
        <w:t>A ativação será autorizada pela função designada pela Alta Administração quando o impacto exigir coordenação do PCN. O sistema suspeito só poderá voltar a ser utilizado após validação técnica e liberação operacional pelas funções competentes. Registrar horário, sistemas afetados, medidas adotadas, evidências, resultados dos testes, aprovações e pendências. As medidas descritas devem ser formalizadas em procedimentos, testadas e aprovadas pelas funções técnicas e operacionais competentes.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pgSz w:w="11910" w:h="16840"/>
          <w:pgMar w:header="0" w:footer="538" w:top="1660" w:bottom="760" w:left="1275" w:right="708"/>
        </w:sectPr>
      </w:pPr>
    </w:p>
    <w:p>
      <w:pPr>
        <w:pStyle w:val="Heading1"/>
        <w:spacing w:before="62"/>
        <w:ind w:left="1003" w:firstLine="0"/>
      </w:pPr>
      <w:r>
        <w:rPr/>
        <w:t>C03</w:t>
      </w:r>
      <w:r>
        <w:rPr>
          <w:spacing w:val="-3"/>
        </w:rPr>
        <w:t> </w:t>
      </w:r>
      <w:r>
        <w:rPr/>
        <w:t>—</w:t>
      </w:r>
      <w:r>
        <w:rPr>
          <w:spacing w:val="-2"/>
        </w:rPr>
        <w:t> </w:t>
      </w:r>
      <w:r>
        <w:rPr/>
        <w:t>Comprometimento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fornecedor</w:t>
      </w:r>
      <w:r>
        <w:rPr>
          <w:spacing w:val="-1"/>
        </w:rPr>
        <w:t> </w:t>
      </w:r>
      <w:r>
        <w:rPr>
          <w:spacing w:val="-2"/>
        </w:rPr>
        <w:t>externo</w:t>
      </w:r>
    </w:p>
    <w:p>
      <w:pPr>
        <w:pStyle w:val="BodyText"/>
        <w:keepNext w:val="0"/>
        <w:keepLines w:val="0"/>
        <w:widowControl/>
        <w:spacing w:line="360" w:lineRule="auto" w:before="154"/>
        <w:ind w:left="427" w:right="425" w:firstLine="1132"/>
        <w:jc w:val="both"/>
      </w:pPr>
      <w:r>
        <w:rPr>
          <w:rFonts w:ascii="Times New Roman" w:hAnsi="Times New Roman"/>
          <w:sz w:val="24"/>
        </w:rPr>
        <w:t>Este cenário será acionado quando registros de acesso remoto, alterações inesperadas, credenciais suspeitas ou alertas indicarem possível comprometimento por meio do suporte externo (R03). A TI e o responsável pelo contrato deverão identificar o fornecedor, os acessos utilizados e os sistemas possivelmente afetados. Se o evento atingir um sistema embarcado, a Coordenação do PCN deverá acionar também o cenário C02/R05.</w:t>
      </w:r>
    </w:p>
    <w:p>
      <w:pPr>
        <w:pStyle w:val="BodyText"/>
        <w:keepNext w:val="0"/>
        <w:keepLines w:val="0"/>
        <w:widowControl/>
        <w:spacing w:before="9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/>
        <w:tc>
          <w:tcPr>
            <w:tcW w:w="170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Etapa</w:t>
            </w:r>
          </w:p>
        </w:tc>
        <w:tc>
          <w:tcPr>
            <w:tcW w:w="5387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Ação</w:t>
            </w:r>
          </w:p>
        </w:tc>
        <w:tc>
          <w:tcPr>
            <w:tcW w:w="2552" w:type="dxa"/>
            <w:shd w:val="clear" w:color="auto" w:fill="E7ECF1"/>
            <w:vAlign w:val="center"/>
          </w:tcPr>
          <w:p>
            <w:pPr>
              <w:pStyle w:val="TableParagraph"/>
              <w:spacing w:line="240" w:lineRule="auto" w:before="0" w:after="0"/>
              <w:ind w:left="87" w:right="166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Detalhamento operacional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Identificar e acionar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Registrar o evento, identificar o serviço e envolver as funções responsáveis pelo contrato e pelo sistema.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tabs>
                <w:tab w:pos="1685" w:val="left" w:leader="none"/>
              </w:tabs>
              <w:spacing w:line="240" w:lineRule="auto" w:before="0" w:after="0"/>
              <w:ind w:left="87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TI, gestor do contrato e responsável pelo sistema. Recursos: registros de acesso, contrato e canal oficial do fornecedor. Critério: suspeita fundamentada de acesso ou alteração não autorizada.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Conter</w:t>
            </w:r>
            <w:r>
              <w:rPr>
                <w:rFonts w:ascii="Times New Roman" w:hAnsi="Times New Roman"/>
                <w:spacing w:val="-2"/>
                <w:sz w:val="20"/>
              </w:rPr>
              <w:t> acesso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Avaliar suspensão ou restrição do acesso afetado, preservando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registros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 observando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 impacto sobre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 suporte crítico.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1644" w:val="left" w:leader="none"/>
              </w:tabs>
              <w:spacing w:line="240" w:lineRule="auto" w:before="0" w:after="0"/>
              <w:ind w:left="87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TI, gestor do contrato e coordenação do PCN. Recurso: controle e registro de sessões remotas. Critério: restringir ou suspender o acesso afetado após avaliar o impacto, preservar evidências e exigir aprovação para novo acesso.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Recuperar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Analisar o alcance, revisar credenciais e recuperar os sistemas conforme o tratamento técnico autorizado.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spacing w:before="0" w:after="0" w:line="240" w:lineRule="auto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 e responsável técnico; fornecedor apenas com autorização e supervisão. Recursos: revisão de contas, credenciais, configurações e registros. Critério: corrigir a causa, revogar credenciais suspeitas e restaurar versão confiável, se necessário.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Restabelecer suporte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Validar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correção,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reautorizar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apenas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acessos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necessários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registrar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condições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acompanhamento.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1671" w:val="left" w:leader="none"/>
              </w:tabs>
              <w:spacing w:line="240" w:lineRule="auto" w:before="0" w:after="0"/>
              <w:ind w:left="87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 e gestor do contrato. Recurso: autorização formal, acesso mínimo e temporário, com registro e supervisão. Critério: reabrir somente os acessos necessários após validar a integridade dos sistemas e definir acompanhamento.</w:t>
            </w:r>
          </w:p>
        </w:tc>
      </w:tr>
    </w:tbl>
    <w:p>
      <w:pPr>
        <w:pStyle w:val="BodyText"/>
        <w:keepNext w:val="0"/>
        <w:keepLines w:val="0"/>
        <w:widowControl/>
        <w:spacing w:before="262"/>
      </w:pPr>
    </w:p>
    <w:p>
      <w:pPr>
        <w:pStyle w:val="BodyText"/>
        <w:keepNext w:val="0"/>
        <w:keepLines w:val="0"/>
        <w:widowControl/>
        <w:spacing w:line="360" w:lineRule="auto"/>
        <w:ind w:left="427" w:right="425" w:firstLine="1132"/>
        <w:jc w:val="both"/>
      </w:pPr>
      <w:r>
        <w:rPr/>
        <w:t>A função designada pela Alta Administração coordenará a ativação quando o impacto exigir o PCN. A TI recomendará as medidas técnicas e o gestor do contrato tratará o caso com o fornecedor por canal autorizado. O suporte só será restabelecido após revisar credenciais</w:t>
      </w:r>
      <w:r>
        <w:rPr>
          <w:spacing w:val="54"/>
        </w:rPr>
        <w:t> </w:t>
      </w:r>
      <w:r>
        <w:rPr/>
        <w:t>e</w:t>
      </w:r>
      <w:r>
        <w:rPr>
          <w:spacing w:val="58"/>
        </w:rPr>
        <w:t> </w:t>
      </w:r>
      <w:r>
        <w:rPr/>
        <w:t>permissões,</w:t>
      </w:r>
      <w:r>
        <w:rPr>
          <w:spacing w:val="56"/>
        </w:rPr>
        <w:t> </w:t>
      </w:r>
      <w:r>
        <w:rPr/>
        <w:t>validar</w:t>
      </w:r>
      <w:r>
        <w:rPr>
          <w:spacing w:val="56"/>
        </w:rPr>
        <w:t> </w:t>
      </w:r>
      <w:r>
        <w:rPr/>
        <w:t>os</w:t>
      </w:r>
      <w:r>
        <w:rPr>
          <w:spacing w:val="56"/>
        </w:rPr>
        <w:t> </w:t>
      </w:r>
      <w:r>
        <w:rPr/>
        <w:t>sistemas</w:t>
      </w:r>
      <w:r>
        <w:rPr>
          <w:spacing w:val="60"/>
        </w:rPr>
        <w:t> </w:t>
      </w:r>
      <w:r>
        <w:rPr/>
        <w:t>e</w:t>
      </w:r>
      <w:r>
        <w:rPr>
          <w:spacing w:val="57"/>
        </w:rPr>
        <w:t> </w:t>
      </w:r>
      <w:r>
        <w:rPr/>
        <w:t>aprovar</w:t>
      </w:r>
      <w:r>
        <w:rPr>
          <w:spacing w:val="56"/>
        </w:rPr>
        <w:t> </w:t>
      </w:r>
      <w:r>
        <w:rPr/>
        <w:t>os</w:t>
      </w:r>
      <w:r>
        <w:rPr>
          <w:spacing w:val="56"/>
        </w:rPr>
        <w:t> </w:t>
      </w:r>
      <w:r>
        <w:rPr/>
        <w:t>acessos</w:t>
      </w:r>
      <w:r>
        <w:rPr>
          <w:spacing w:val="58"/>
        </w:rPr>
        <w:t> </w:t>
      </w:r>
      <w:r>
        <w:rPr/>
        <w:t>mínimos</w:t>
      </w:r>
      <w:r>
        <w:rPr>
          <w:spacing w:val="57"/>
        </w:rPr>
        <w:t> </w:t>
      </w:r>
      <w:r>
        <w:rPr>
          <w:spacing w:val="-2"/>
        </w:rPr>
        <w:t>necessários.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p>
      <w:pPr>
        <w:pStyle w:val="BodyText"/>
        <w:keepNext w:val="0"/>
        <w:keepLines w:val="0"/>
        <w:widowControl/>
        <w:spacing w:line="360" w:lineRule="auto" w:before="62"/>
        <w:ind w:left="427" w:right="430"/>
        <w:jc w:val="both"/>
      </w:pPr>
      <w:r>
        <w:rPr>
          <w:rFonts w:ascii="Times New Roman" w:hAnsi="Times New Roman"/>
          <w:sz w:val="24"/>
        </w:rPr>
        <w:t>Registrar decisões, horários, acessos, evidências, validações e pendências. As medidas devem ser implantadas, testadas e acompanhadas por evidências de execução e eficácia.</w:t>
      </w:r>
    </w:p>
    <w:p>
      <w:pPr>
        <w:pStyle w:val="Heading1"/>
        <w:spacing w:before="200"/>
        <w:ind w:left="1003" w:firstLine="0"/>
      </w:pPr>
      <w:r>
        <w:rPr/>
        <w:t>C04</w:t>
      </w:r>
      <w:r>
        <w:rPr>
          <w:spacing w:val="-3"/>
        </w:rPr>
        <w:t> </w:t>
      </w:r>
      <w:r>
        <w:rPr/>
        <w:t>—</w:t>
      </w:r>
      <w:r>
        <w:rPr>
          <w:spacing w:val="-1"/>
        </w:rPr>
        <w:t> </w:t>
      </w:r>
      <w:r>
        <w:rPr/>
        <w:t>Incidente</w:t>
      </w:r>
      <w:r>
        <w:rPr>
          <w:spacing w:val="-3"/>
        </w:rPr>
        <w:t> </w:t>
      </w:r>
      <w:r>
        <w:rPr/>
        <w:t>cibernético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grande</w:t>
      </w:r>
      <w:r>
        <w:rPr>
          <w:spacing w:val="-2"/>
        </w:rPr>
        <w:t> impacto</w:t>
      </w:r>
    </w:p>
    <w:p>
      <w:pPr>
        <w:pStyle w:val="BodyText"/>
        <w:keepNext w:val="0"/>
        <w:keepLines w:val="0"/>
        <w:widowControl/>
        <w:spacing w:line="360" w:lineRule="auto" w:before="153"/>
        <w:ind w:left="427" w:right="423" w:firstLine="1132"/>
        <w:jc w:val="both"/>
      </w:pPr>
      <w:r>
        <w:rPr>
          <w:rFonts w:ascii="Times New Roman" w:hAnsi="Times New Roman"/>
          <w:sz w:val="24"/>
        </w:rPr>
        <w:t>Cenário de referência: evento cibernético que afete simultaneamente o sistema de reservas e serviços críticos relacionados à operação, ou provoque indisponibilidade prolongada além da capacidade de tratamento isolado. Devem ser relacionados somente os riscos efetivamente materializados: R01, R03 e/ou R05.</w:t>
      </w:r>
    </w:p>
    <w:p>
      <w:pPr>
        <w:pStyle w:val="BodyText"/>
        <w:keepNext w:val="0"/>
        <w:keepLines w:val="0"/>
        <w:widowControl/>
        <w:spacing w:line="360" w:lineRule="auto" w:before="101"/>
        <w:ind w:left="427" w:right="429" w:firstLine="1132"/>
        <w:jc w:val="both"/>
      </w:pPr>
      <w:r>
        <w:rPr>
          <w:rFonts w:ascii="Times New Roman" w:hAnsi="Times New Roman"/>
          <w:sz w:val="24"/>
        </w:rPr>
        <w:t>Gatilho de ativação: confirmação de múltiplos serviços críticos afetados, impacto operacional relevante ou necessidade de coordenação entre TI, reservas, áreas operacionais, engenharia/manutenção e fornecedores. A função designada pela direção coordena o PCN; as decisões sobre voos permanecem sob a autoridade operacional competente.</w:t>
      </w:r>
    </w:p>
    <w:p>
      <w:pPr>
        <w:pStyle w:val="BodyText"/>
        <w:keepNext w:val="0"/>
        <w:keepLines w:val="0"/>
        <w:widowControl/>
        <w:spacing w:line="360" w:lineRule="auto" w:before="101"/>
        <w:ind w:left="427" w:right="421" w:firstLine="1132"/>
        <w:jc w:val="both"/>
      </w:pPr>
      <w:r>
        <w:rPr/>
        <w:t>Prioridade: preservar a segurança operacional e conter comprometimentos; em seguida,</w:t>
      </w:r>
      <w:r>
        <w:rPr>
          <w:spacing w:val="-11"/>
        </w:rPr>
        <w:t> </w:t>
      </w:r>
      <w:r>
        <w:rPr/>
        <w:t>recuperar</w:t>
      </w:r>
      <w:r>
        <w:rPr>
          <w:spacing w:val="-11"/>
        </w:rPr>
        <w:t> </w:t>
      </w:r>
      <w:r>
        <w:rPr/>
        <w:t>recursos</w:t>
      </w:r>
      <w:r>
        <w:rPr>
          <w:spacing w:val="-10"/>
        </w:rPr>
        <w:t> </w:t>
      </w:r>
      <w:r>
        <w:rPr/>
        <w:t>necessários</w:t>
      </w:r>
      <w:r>
        <w:rPr>
          <w:spacing w:val="-11"/>
        </w:rPr>
        <w:t> </w:t>
      </w:r>
      <w:r>
        <w:rPr/>
        <w:t>à</w:t>
      </w:r>
      <w:r>
        <w:rPr>
          <w:spacing w:val="-12"/>
        </w:rPr>
        <w:t> </w:t>
      </w:r>
      <w:r>
        <w:rPr/>
        <w:t>continuidade</w:t>
      </w:r>
      <w:r>
        <w:rPr>
          <w:spacing w:val="-12"/>
        </w:rPr>
        <w:t> </w:t>
      </w:r>
      <w:r>
        <w:rPr/>
        <w:t>autorizada</w:t>
      </w:r>
      <w:r>
        <w:rPr>
          <w:spacing w:val="-12"/>
        </w:rPr>
        <w:t> </w:t>
      </w:r>
      <w:r>
        <w:rPr/>
        <w:t>das</w:t>
      </w:r>
      <w:r>
        <w:rPr>
          <w:spacing w:val="-10"/>
        </w:rPr>
        <w:t> </w:t>
      </w:r>
      <w:r>
        <w:rPr/>
        <w:t>operações</w:t>
      </w:r>
      <w:r>
        <w:rPr>
          <w:spacing w:val="-8"/>
        </w:rPr>
        <w:t> </w:t>
      </w:r>
      <w:r>
        <w:rPr/>
        <w:t>e</w:t>
      </w:r>
      <w:r>
        <w:rPr>
          <w:spacing w:val="-12"/>
        </w:rPr>
        <w:t> </w:t>
      </w:r>
      <w:r>
        <w:rPr/>
        <w:t>das</w:t>
      </w:r>
      <w:r>
        <w:rPr>
          <w:spacing w:val="-10"/>
        </w:rPr>
        <w:t> </w:t>
      </w:r>
      <w:r>
        <w:rPr/>
        <w:t>reservas, de acordo com a análise da seção 3. A comunicação à ANAC e ao DECEA deve ser avaliada pelas funções responsáveis conforme o evento e os requisitos aplicáveis; incidentes com dados pessoais exigem análise das obrigações pertinentes.</w:t>
      </w:r>
    </w:p>
    <w:p>
      <w:pPr>
        <w:pStyle w:val="BodyText"/>
        <w:keepNext w:val="0"/>
        <w:keepLines w:val="0"/>
        <w:widowControl/>
        <w:spacing w:line="360" w:lineRule="auto" w:before="100"/>
        <w:ind w:left="427" w:right="423" w:firstLine="1132"/>
        <w:jc w:val="both"/>
      </w:pPr>
      <w:r>
        <w:rPr>
          <w:rFonts w:ascii="Times New Roman" w:hAnsi="Times New Roman"/>
          <w:sz w:val="24"/>
        </w:rPr>
        <w:t>Critério de encerramento: riscos imediatos controlados, sistemas afetados tecnicamente validados, condições operacionais aprovadas, integridade das informações verificadas, comunicações pertinentes realizadas e retorno formalmente autorizado e registrado. Os resultados alimentam a revisão da PGR, da PSI e do PCN.</w:t>
      </w:r>
    </w:p>
    <w:p>
      <w:pPr>
        <w:pStyle w:val="BodyText"/>
        <w:keepNext w:val="0"/>
        <w:keepLines w:val="0"/>
        <w:widowControl/>
        <w:spacing w:before="9" w:after="1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/>
        <w:tc>
          <w:tcPr>
            <w:tcW w:w="170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Etapa</w:t>
            </w:r>
          </w:p>
        </w:tc>
        <w:tc>
          <w:tcPr>
            <w:tcW w:w="5387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Ação</w:t>
            </w:r>
          </w:p>
        </w:tc>
        <w:tc>
          <w:tcPr>
            <w:tcW w:w="255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Detalhamento operacional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Dimensionar</w:t>
            </w:r>
            <w:r>
              <w:rPr>
                <w:rFonts w:ascii="Times New Roman" w:hAnsi="Times New Roman"/>
                <w:spacing w:val="7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 </w:t>
            </w:r>
            <w:r>
              <w:rPr>
                <w:rFonts w:ascii="Times New Roman" w:hAnsi="Times New Roman"/>
                <w:spacing w:val="-2"/>
                <w:sz w:val="20"/>
              </w:rPr>
              <w:t>coordenar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TI e áreas operacionais identificam os </w:t>
            </w:r>
            <w:r>
              <w:rPr>
                <w:rFonts w:ascii="Times New Roman" w:hAnsi="Times New Roman"/>
                <w:sz w:val="20"/>
              </w:rPr>
              <w:t>sistemas atingidos, verificam relações entre R01, R03 e R05 e propõem a ativação coordenada do PCN.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</w:t>
            </w:r>
            <w:r>
              <w:rPr>
                <w:rFonts w:ascii="Times New Roman" w:hAnsi="Times New Roman"/>
                <w:sz w:val="20"/>
              </w:rPr>
              <w:t>coordenação designada pela direção, TI e gestores afetados. Evidências: registro único do evento, impacto, decisões e cenários acionados.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Conter e priorizar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Aplicar restrições de acesso e contenção </w:t>
            </w:r>
            <w:r>
              <w:rPr>
                <w:rFonts w:ascii="Times New Roman" w:hAnsi="Times New Roman"/>
                <w:sz w:val="20"/>
              </w:rPr>
              <w:t>técnica autorizadas, preservar evidências e impedir uso de sistemas críticos suspeitos sem liberação.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2170" w:val="left" w:leader="none"/>
              </w:tabs>
              <w:spacing w:before="0" w:after="0" w:line="240" w:lineRule="auto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TI, engenharia, manutenção e operações. Critério: segurança operacional preservada; priorização conforme a seção 3 e parecer competente.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Continuar e recuperar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Adotar alternativas previamente validadas, recuperar primeiro dependências indispensáveis e usar </w:t>
            </w:r>
            <w:r>
              <w:rPr>
                <w:rFonts w:ascii="Times New Roman" w:hAnsi="Times New Roman"/>
                <w:sz w:val="20"/>
              </w:rPr>
              <w:t>cópias verificadas quando forem necessárias.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tabs>
                <w:tab w:pos="2170" w:val="left" w:leader="none"/>
              </w:tabs>
              <w:spacing w:before="0" w:after="0" w:line="240" w:lineRule="auto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TI, responsáveis pelos sistemas e prestadores autorizados. Recursos: procedimentos de contingência e backups definidos na seção 4.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Validar e comunicar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Verificar integridade, estabilidade e segurança dos processos retomados; comunicar evolução </w:t>
            </w:r>
            <w:r>
              <w:rPr>
                <w:rFonts w:ascii="Times New Roman" w:hAnsi="Times New Roman"/>
                <w:sz w:val="20"/>
              </w:rPr>
              <w:t>aos públicos pertinentes e registrar lições aprendidas.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1229" w:val="left" w:leader="none"/>
                <w:tab w:pos="2349" w:val="left" w:leader="none"/>
              </w:tabs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responsáveis técnicos e operacionais, coordenação e comunicação institucional.</w:t>
            </w:r>
          </w:p>
          <w:p>
            <w:pPr>
              <w:pStyle w:val="TableParagraph"/>
              <w:spacing w:line="240" w:lineRule="auto" w:before="0" w:after="0"/>
              <w:ind w:left="87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Conclusão: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autorizações registradas 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pendências </w:t>
            </w:r>
            <w:r>
              <w:rPr>
                <w:rFonts w:ascii="Times New Roman" w:hAnsi="Times New Roman"/>
                <w:spacing w:val="-2"/>
                <w:sz w:val="20"/>
              </w:rPr>
              <w:t>encaminhadas.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222" w:after="0"/>
        <w:ind w:left="858" w:right="0" w:hanging="431"/>
        <w:jc w:val="both"/>
      </w:pPr>
      <w:r>
        <w:rPr>
          <w:spacing w:val="-2"/>
        </w:rPr>
        <w:t>Comunicação</w:t>
      </w:r>
    </w:p>
    <w:p>
      <w:pPr>
        <w:pStyle w:val="BodyText"/>
        <w:keepNext w:val="0"/>
        <w:keepLines w:val="0"/>
        <w:widowControl/>
        <w:spacing w:line="360" w:lineRule="auto" w:before="154"/>
        <w:ind w:left="427" w:right="425" w:firstLine="1132"/>
        <w:jc w:val="both"/>
      </w:pPr>
      <w:r>
        <w:rPr>
          <w:rFonts w:ascii="Times New Roman" w:hAnsi="Times New Roman"/>
          <w:sz w:val="24"/>
        </w:rPr>
        <w:t>A comunicação durante a contingência será coordenada pela função designada pela direção, com apoio da TI e das áreas afetadas. Somente informações confirmadas e aprovadas deverão ser divulgadas. Telefones, e-mails, contatos e canais oficiais devem constar em lista controlada, mantida pela Coordenação do PCN e atualizada trimestralmente e após mudanças de responsáveis.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p>
      <w:pPr>
        <w:pStyle w:val="BodyText"/>
        <w:keepNext w:val="0"/>
        <w:keepLines w:val="0"/>
        <w:widowControl/>
        <w:spacing w:before="8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4"/>
        <w:gridCol w:w="4765"/>
        <w:gridCol w:w="2552"/>
      </w:tblGrid>
      <w:tr>
        <w:trPr/>
        <w:tc>
          <w:tcPr>
            <w:tcW w:w="2324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Destinatário</w:t>
            </w:r>
          </w:p>
        </w:tc>
        <w:tc>
          <w:tcPr>
            <w:tcW w:w="4765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9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Conteúdo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/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condição</w:t>
            </w:r>
          </w:p>
        </w:tc>
        <w:tc>
          <w:tcPr>
            <w:tcW w:w="255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7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Responsável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e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canal</w:t>
            </w:r>
          </w:p>
        </w:tc>
      </w:tr>
      <w:tr>
        <w:trPr/>
        <w:tc>
          <w:tcPr>
            <w:tcW w:w="2324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TI,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gestores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funções </w:t>
            </w:r>
            <w:r>
              <w:rPr>
                <w:rFonts w:ascii="Times New Roman" w:hAnsi="Times New Roman"/>
                <w:spacing w:val="-2"/>
                <w:sz w:val="20"/>
              </w:rPr>
              <w:t>operacionais</w:t>
            </w:r>
          </w:p>
        </w:tc>
        <w:tc>
          <w:tcPr>
            <w:tcW w:w="4765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Serviços afetados, início do evento, restrições, prioridades e decisões necessárias.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Coordenação do PCN </w:t>
            </w:r>
            <w:r>
              <w:rPr>
                <w:rFonts w:ascii="Times New Roman" w:hAnsi="Times New Roman"/>
                <w:sz w:val="20"/>
              </w:rPr>
              <w:t>e TI; usar canal corporativo principal e lista/canal alternativo previamente definido. Acionar quando houver incidente relevante e registrar decisões e </w:t>
            </w:r>
            <w:r>
              <w:rPr>
                <w:rFonts w:ascii="Times New Roman" w:hAnsi="Times New Roman"/>
                <w:spacing w:val="-2"/>
                <w:sz w:val="20"/>
              </w:rPr>
              <w:t>atualizações.</w:t>
            </w:r>
          </w:p>
        </w:tc>
      </w:tr>
      <w:tr>
        <w:trPr/>
        <w:tc>
          <w:tcPr>
            <w:tcW w:w="2324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23" w:val="left" w:leader="none"/>
              </w:tabs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Passageiros, quando afetados</w:t>
            </w:r>
          </w:p>
        </w:tc>
        <w:tc>
          <w:tcPr>
            <w:tcW w:w="4765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Informação</w:t>
            </w:r>
            <w:r>
              <w:rPr>
                <w:rFonts w:ascii="Times New Roman" w:hAnsi="Times New Roman"/>
                <w:spacing w:val="8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confirmada</w:t>
            </w:r>
            <w:r>
              <w:rPr>
                <w:rFonts w:ascii="Times New Roman" w:hAnsi="Times New Roman"/>
                <w:spacing w:val="8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  <w:spacing w:val="8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</w:t>
            </w:r>
            <w:r>
              <w:rPr>
                <w:rFonts w:ascii="Times New Roman" w:hAnsi="Times New Roman"/>
                <w:spacing w:val="8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serviço</w:t>
            </w:r>
            <w:r>
              <w:rPr>
                <w:rFonts w:ascii="Times New Roman" w:hAnsi="Times New Roman"/>
                <w:spacing w:val="8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orientações aprovadas para atendimento.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2230" w:val="left" w:leader="none"/>
              </w:tabs>
              <w:spacing w:before="0" w:after="0" w:line="240" w:lineRule="auto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Função de comunicação ou atendimento, após aprovação da coordenação; usar site, aplicativo, central de atendimento ou outro canal oficial disponível. Informar apenas o impacto confirmado e as orientações aprovadas.</w:t>
            </w:r>
          </w:p>
        </w:tc>
      </w:tr>
      <w:tr>
        <w:trPr/>
        <w:tc>
          <w:tcPr>
            <w:tcW w:w="2324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Fornecedores</w:t>
            </w:r>
          </w:p>
        </w:tc>
        <w:tc>
          <w:tcPr>
            <w:tcW w:w="4765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Solicitação de suporte, evidências pertinentes </w:t>
            </w:r>
            <w:r>
              <w:rPr>
                <w:rFonts w:ascii="Times New Roman" w:hAnsi="Times New Roman"/>
                <w:sz w:val="20"/>
              </w:rPr>
              <w:t>e condições de acesso autorizado.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spacing w:line="240" w:lineRule="auto" w:before="0" w:after="0"/>
              <w:ind w:left="87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Gestor do contrato e TI; usar o canal </w:t>
            </w:r>
            <w:r>
              <w:rPr>
                <w:rFonts w:ascii="Times New Roman" w:hAnsi="Times New Roman"/>
                <w:sz w:val="20"/>
              </w:rPr>
              <w:t>oficial previsto no contrato e alternativa previamente validada. Compartilhar somente as informações necessárias e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não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liberar acesso sem aprovação.</w:t>
            </w:r>
          </w:p>
        </w:tc>
      </w:tr>
      <w:tr>
        <w:trPr/>
        <w:tc>
          <w:tcPr>
            <w:tcW w:w="2324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ANAC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DECEA</w:t>
            </w:r>
          </w:p>
        </w:tc>
        <w:tc>
          <w:tcPr>
            <w:tcW w:w="4765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0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Comunicação conforme a situação e os requisitos aplicáveis, que devem ser verificados em fontes oficiais.</w:t>
            </w:r>
            <w:r>
              <w:rPr>
                <w:rFonts w:ascii="Times New Roman" w:hAnsi="Times New Roman"/>
                <w:sz w:val="20"/>
              </w:rPr>
              <w:t/>
            </w:r>
            <w:r>
              <w:rPr>
                <w:rFonts w:ascii="Times New Roman" w:hAnsi="Times New Roman"/>
                <w:spacing w:val="-2"/>
                <w:sz w:val="20"/>
              </w:rPr>
              <w:t/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1416" w:val="left" w:leader="none"/>
              </w:tabs>
              <w:spacing w:line="240" w:lineRule="auto" w:before="0" w:after="0"/>
              <w:ind w:left="87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Gestor operacional ou função regulatória designada pela direção, com apoio técnico; utilizar canais oficiais confirmados e avaliar a comunicação conforme o evento e as regras aplicáveis.</w:t>
            </w:r>
          </w:p>
        </w:tc>
      </w:tr>
      <w:tr>
        <w:trPr/>
        <w:tc>
          <w:tcPr>
            <w:tcW w:w="2324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016" w:val="left" w:leader="none"/>
                <w:tab w:pos="1398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ANPD e titulares, quando aplicável</w:t>
            </w:r>
          </w:p>
        </w:tc>
        <w:tc>
          <w:tcPr>
            <w:tcW w:w="4765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0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Avaliar obrigações de comunicação </w:t>
            </w:r>
            <w:r>
              <w:rPr>
                <w:rFonts w:ascii="Times New Roman" w:hAnsi="Times New Roman"/>
                <w:sz w:val="20"/>
              </w:rPr>
              <w:t>de incidente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com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dados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pessoais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regulamentação </w:t>
            </w:r>
            <w:r>
              <w:rPr>
                <w:rFonts w:ascii="Times New Roman" w:hAnsi="Times New Roman"/>
                <w:spacing w:val="-2"/>
                <w:sz w:val="20"/>
              </w:rPr>
              <w:t>vigente.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tabs>
                <w:tab w:pos="1044" w:val="left" w:leader="none"/>
                <w:tab w:pos="1412" w:val="left" w:leader="none"/>
                <w:tab w:pos="2215" w:val="left" w:leader="none"/>
                <w:tab w:pos="2349" w:val="left" w:leader="none"/>
              </w:tabs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Função responsável por privacidade e proteção de dados, com apoio jurídico ou administrativo designado; avaliar a necessidade de comunicação à ANPD e aos titulares conforme o caso e as regras vigentes, registrando a decisão.</w:t>
            </w:r>
          </w:p>
        </w:tc>
      </w:tr>
    </w:tbl>
    <w:p>
      <w:pPr>
        <w:pStyle w:val="BodyText"/>
        <w:keepNext w:val="0"/>
        <w:keepLines w:val="0"/>
        <w:widowControl/>
        <w:spacing w:before="181"/>
      </w:pPr>
    </w:p>
    <w:p>
      <w:pPr>
        <w:pStyle w:val="BodyText"/>
        <w:keepNext w:val="0"/>
        <w:keepLines w:val="0"/>
        <w:widowControl/>
        <w:spacing w:line="360" w:lineRule="auto"/>
        <w:ind w:left="427" w:right="426" w:firstLine="1132"/>
        <w:jc w:val="both"/>
      </w:pPr>
      <w:r>
        <w:rPr/>
        <w:t>Modelo de mensagem: “Foi identificada uma interrupção em [serviço], às [data e horário].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impacto</w:t>
      </w:r>
      <w:r>
        <w:rPr>
          <w:spacing w:val="-10"/>
        </w:rPr>
        <w:t> </w:t>
      </w:r>
      <w:r>
        <w:rPr/>
        <w:t>confirmado</w:t>
      </w:r>
      <w:r>
        <w:rPr>
          <w:spacing w:val="-10"/>
        </w:rPr>
        <w:t> </w:t>
      </w:r>
      <w:r>
        <w:rPr/>
        <w:t>é</w:t>
      </w:r>
      <w:r>
        <w:rPr>
          <w:spacing w:val="-10"/>
        </w:rPr>
        <w:t> </w:t>
      </w:r>
      <w:r>
        <w:rPr/>
        <w:t>[descrição].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função</w:t>
      </w:r>
      <w:r>
        <w:rPr>
          <w:spacing w:val="-10"/>
        </w:rPr>
        <w:t> </w:t>
      </w:r>
      <w:r>
        <w:rPr/>
        <w:t>[responsável</w:t>
      </w:r>
      <w:r>
        <w:rPr>
          <w:spacing w:val="-10"/>
        </w:rPr>
        <w:t> </w:t>
      </w:r>
      <w:r>
        <w:rPr/>
        <w:t>organizacional]</w:t>
      </w:r>
      <w:r>
        <w:rPr>
          <w:spacing w:val="-10"/>
        </w:rPr>
        <w:t> </w:t>
      </w:r>
      <w:r>
        <w:rPr/>
        <w:t>coordena [medidas em andamento]. Para orientações, utilize [canal aprovado]. A próxima atualização será feita em [horário previsto].” Não divulgar informações não confirmadas nem detalhes técnicos sensíveis.</w:t>
      </w:r>
    </w:p>
    <w:p>
      <w:pPr>
        <w:pStyle w:val="BodyText"/>
        <w:keepNext w:val="0"/>
        <w:keepLines w:val="0"/>
        <w:widowControl/>
        <w:spacing w:line="360" w:lineRule="auto" w:before="101"/>
        <w:ind w:left="427" w:right="422" w:firstLine="1132"/>
        <w:jc w:val="both"/>
      </w:pPr>
      <w:r>
        <w:rPr>
          <w:rFonts w:ascii="Times New Roman" w:hAnsi="Times New Roman"/>
          <w:sz w:val="24"/>
        </w:rPr>
        <w:t>Antes da ativação, a Coordenação do PCN deverá confirmar os canais principal e alternativo e manter a lista de contatos atualizada. Para ANAC, DECEA e ANPD, as funções responsáveis deverão verificar os canais oficiais e as obrigações aplicáveis ao incidente. A decisão sobre cada comunicação deverá ser registrada.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62" w:after="0"/>
        <w:ind w:left="858" w:right="0" w:hanging="431"/>
        <w:jc w:val="both"/>
      </w:pPr>
      <w:r>
        <w:rPr/>
        <w:t>Papéis</w:t>
      </w:r>
      <w:r>
        <w:rPr>
          <w:spacing w:val="-3"/>
        </w:rPr>
        <w:t> </w:t>
      </w:r>
      <w:r>
        <w:rPr/>
        <w:t>e </w:t>
      </w:r>
      <w:r>
        <w:rPr>
          <w:spacing w:val="-2"/>
        </w:rPr>
        <w:t>Responsabilidades</w:t>
      </w:r>
    </w:p>
    <w:p>
      <w:pPr>
        <w:pStyle w:val="BodyText"/>
        <w:keepNext w:val="0"/>
        <w:keepLines w:val="0"/>
        <w:widowControl/>
        <w:spacing w:line="360" w:lineRule="auto" w:before="154"/>
        <w:ind w:left="427" w:right="425" w:firstLine="1132"/>
        <w:jc w:val="both"/>
      </w:pPr>
      <w:r>
        <w:rPr>
          <w:rFonts w:ascii="Times New Roman" w:hAnsi="Times New Roman"/>
          <w:sz w:val="24"/>
        </w:rPr>
        <w:t>A execução do PCN deverá ser coordenada pela função designada pela Alta Administração. Os papéis abaixo compõem a estrutura de resposta do PCN e devem permanecer alinhados à PSI e à PGR. As decisões sobre segurança e retomada das operações aéreas permanecem com as funções operacionais competentes.</w:t>
      </w:r>
    </w:p>
    <w:p>
      <w:pPr>
        <w:pStyle w:val="BodyText"/>
        <w:keepNext w:val="0"/>
        <w:keepLines w:val="0"/>
        <w:widowControl/>
        <w:spacing w:before="9"/>
        <w:rPr>
          <w:sz w:val="8"/>
        </w:rPr>
      </w:pPr>
    </w:p>
    <w:tbl>
      <w:tblPr>
        <w:tblW w:w="0" w:type="auto"/>
        <w:jc w:val="left"/>
        <w:tblInd w:w="14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71"/>
        <w:gridCol w:w="3402"/>
      </w:tblGrid>
      <w:tr>
        <w:trPr/>
        <w:tc>
          <w:tcPr>
            <w:tcW w:w="2268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0"/>
              </w:rPr>
              <w:t>Ação</w:t>
            </w:r>
          </w:p>
        </w:tc>
        <w:tc>
          <w:tcPr>
            <w:tcW w:w="3971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Função responsável</w:t>
            </w:r>
          </w:p>
        </w:tc>
        <w:tc>
          <w:tcPr>
            <w:tcW w:w="340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9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Decisão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a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registrar</w:t>
            </w:r>
          </w:p>
        </w:tc>
      </w:tr>
      <w:tr>
        <w:trPr/>
        <w:tc>
          <w:tcPr>
            <w:tcW w:w="2268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Ativar</w:t>
            </w:r>
            <w:r>
              <w:rPr>
                <w:rFonts w:ascii="Times New Roman" w:hAnsi="Times New Roman"/>
                <w:spacing w:val="2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2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coordenar</w:t>
            </w:r>
            <w:r>
              <w:rPr>
                <w:rFonts w:ascii="Times New Roman" w:hAnsi="Times New Roman"/>
                <w:spacing w:val="2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 </w:t>
            </w:r>
            <w:r>
              <w:rPr>
                <w:rFonts w:ascii="Times New Roman" w:hAnsi="Times New Roman"/>
                <w:spacing w:val="-4"/>
                <w:sz w:val="20"/>
              </w:rPr>
              <w:t>PCN</w:t>
            </w:r>
          </w:p>
        </w:tc>
        <w:tc>
          <w:tcPr>
            <w:tcW w:w="397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231" w:val="left" w:leader="none"/>
                <w:tab w:pos="2629" w:val="left" w:leader="none"/>
                <w:tab w:pos="3464" w:val="left" w:leader="none"/>
              </w:tabs>
              <w:spacing w:line="240" w:lineRule="auto" w:before="0" w:after="0"/>
              <w:ind w:left="91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Função designada pela Alta Administração (coordenação do PCN)</w:t>
            </w:r>
          </w:p>
        </w:tc>
        <w:tc>
          <w:tcPr>
            <w:tcW w:w="3402" w:type="dxa"/>
            <w:vAlign w:val="top"/>
          </w:tcPr>
          <w:p>
            <w:pPr>
              <w:pStyle w:val="TableParagraph"/>
              <w:spacing w:line="240" w:lineRule="auto" w:before="0" w:after="0"/>
              <w:ind w:left="90" w:right="7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Ativar quando o impacto </w:t>
            </w:r>
            <w:r>
              <w:rPr>
                <w:rFonts w:ascii="Times New Roman" w:hAnsi="Times New Roman"/>
                <w:sz w:val="20"/>
              </w:rPr>
              <w:t>atingir processo crítico ou exigir coordenação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áreas;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registrar motivo, horário e cenários </w:t>
            </w:r>
            <w:r>
              <w:rPr>
                <w:rFonts w:ascii="Times New Roman" w:hAnsi="Times New Roman"/>
                <w:spacing w:val="-2"/>
                <w:sz w:val="20"/>
              </w:rPr>
              <w:t>acionados.</w:t>
            </w:r>
          </w:p>
        </w:tc>
      </w:tr>
      <w:tr>
        <w:trPr/>
        <w:tc>
          <w:tcPr>
            <w:tcW w:w="2268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179" w:val="left" w:leader="none"/>
                <w:tab w:pos="2070" w:val="left" w:leader="none"/>
              </w:tabs>
              <w:spacing w:line="240" w:lineRule="auto" w:before="0" w:after="0"/>
              <w:ind w:left="91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Decidir sobre a operação</w:t>
            </w:r>
          </w:p>
        </w:tc>
        <w:tc>
          <w:tcPr>
            <w:tcW w:w="3971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940" w:val="left" w:leader="none"/>
                <w:tab w:pos="1377" w:val="left" w:leader="none"/>
                <w:tab w:pos="2549" w:val="left" w:leader="none"/>
                <w:tab w:pos="2866" w:val="left" w:leader="none"/>
              </w:tabs>
              <w:spacing w:line="240" w:lineRule="auto" w:before="0" w:after="0"/>
              <w:ind w:left="91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Gestor de operações e autoridade operacional competente</w:t>
            </w:r>
          </w:p>
        </w:tc>
        <w:tc>
          <w:tcPr>
            <w:tcW w:w="3402" w:type="dxa"/>
            <w:shd w:val="clear" w:color="auto" w:fill="F7F8F9"/>
            <w:vAlign w:val="top"/>
          </w:tcPr>
          <w:p>
            <w:pPr>
              <w:pStyle w:val="TableParagraph"/>
              <w:spacing w:line="240" w:lineRule="auto" w:before="0" w:after="0"/>
              <w:ind w:left="90" w:right="76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Definir quais atividades podem continuar, quais ficam restritas </w:t>
            </w:r>
            <w:r>
              <w:rPr>
                <w:rFonts w:ascii="Times New Roman" w:hAnsi="Times New Roman"/>
                <w:sz w:val="20"/>
              </w:rPr>
              <w:t>e quais condições são necessárias para a retomada; não autorizar operação sem condições de </w:t>
            </w:r>
            <w:r>
              <w:rPr>
                <w:rFonts w:ascii="Times New Roman" w:hAnsi="Times New Roman"/>
                <w:spacing w:val="-2"/>
                <w:sz w:val="20"/>
              </w:rPr>
              <w:t>segurança.</w:t>
            </w:r>
          </w:p>
        </w:tc>
      </w:tr>
      <w:tr>
        <w:trPr/>
        <w:tc>
          <w:tcPr>
            <w:tcW w:w="2268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Recuperar tecnicamente</w:t>
            </w:r>
          </w:p>
        </w:tc>
        <w:tc>
          <w:tcPr>
            <w:tcW w:w="397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525" w:val="left" w:leader="none"/>
                <w:tab w:pos="1463" w:val="left" w:leader="none"/>
                <w:tab w:pos="2808" w:val="left" w:leader="none"/>
                <w:tab w:pos="3710" w:val="left" w:leader="none"/>
              </w:tabs>
              <w:spacing w:line="240" w:lineRule="auto" w:before="0" w:after="0"/>
              <w:ind w:left="91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TI interna, responsável técnico e, quando aprovado, suporte externo</w:t>
            </w:r>
          </w:p>
        </w:tc>
        <w:tc>
          <w:tcPr>
            <w:tcW w:w="3402" w:type="dxa"/>
            <w:vAlign w:val="top"/>
          </w:tcPr>
          <w:p>
            <w:pPr>
              <w:pStyle w:val="TableParagraph"/>
              <w:spacing w:line="240" w:lineRule="auto" w:before="0" w:after="0"/>
              <w:ind w:left="90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Autorizar e </w:t>
            </w:r>
            <w:r>
              <w:rPr>
                <w:rFonts w:ascii="Times New Roman" w:hAnsi="Times New Roman"/>
                <w:sz w:val="20"/>
              </w:rPr>
              <w:t>documentar intervenções, limitar acessos, preservar evidências e registrar testes, resultados e pendências.</w:t>
            </w:r>
          </w:p>
        </w:tc>
      </w:tr>
      <w:tr>
        <w:trPr/>
        <w:tc>
          <w:tcPr>
            <w:tcW w:w="2268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Comunicar</w:t>
            </w:r>
          </w:p>
        </w:tc>
        <w:tc>
          <w:tcPr>
            <w:tcW w:w="3971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Função</w:t>
            </w:r>
            <w:r>
              <w:rPr>
                <w:rFonts w:ascii="Times New Roman" w:hAnsi="Times New Roman"/>
                <w:spacing w:val="8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institucional/comunicação</w:t>
            </w:r>
            <w:r>
              <w:rPr>
                <w:rFonts w:ascii="Times New Roman" w:hAnsi="Times New Roman"/>
                <w:spacing w:val="8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ou atendimento designada pela direção</w:t>
            </w:r>
          </w:p>
        </w:tc>
        <w:tc>
          <w:tcPr>
            <w:tcW w:w="3402" w:type="dxa"/>
            <w:shd w:val="clear" w:color="auto" w:fill="F7F8F9"/>
            <w:vAlign w:val="top"/>
          </w:tcPr>
          <w:p>
            <w:pPr>
              <w:pStyle w:val="TableParagraph"/>
              <w:spacing w:line="240" w:lineRule="auto" w:before="0" w:after="0"/>
              <w:ind w:left="90" w:right="7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Aprovar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conteúdo,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destinatários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 canais; divulgar somente informação confirmada e manter registro das atualizações.</w:t>
            </w:r>
          </w:p>
        </w:tc>
      </w:tr>
      <w:tr>
        <w:trPr/>
        <w:tc>
          <w:tcPr>
            <w:tcW w:w="2268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Autorizar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retorno</w:t>
            </w:r>
          </w:p>
        </w:tc>
        <w:tc>
          <w:tcPr>
            <w:tcW w:w="397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Responsáveis</w:t>
            </w:r>
            <w:r>
              <w:rPr>
                <w:rFonts w:ascii="Times New Roman" w:hAnsi="Times New Roman"/>
                <w:spacing w:val="2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técnicos</w:t>
            </w:r>
            <w:r>
              <w:rPr>
                <w:rFonts w:ascii="Times New Roman" w:hAnsi="Times New Roman"/>
                <w:spacing w:val="3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3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operacionais; coordenação registra o encerramento</w:t>
            </w:r>
          </w:p>
        </w:tc>
        <w:tc>
          <w:tcPr>
            <w:tcW w:w="3402" w:type="dxa"/>
            <w:vAlign w:val="top"/>
          </w:tcPr>
          <w:p>
            <w:pPr>
              <w:pStyle w:val="TableParagraph"/>
              <w:spacing w:line="240" w:lineRule="auto" w:before="0" w:after="0"/>
              <w:ind w:left="90" w:right="7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Confirmar integridade técnica </w:t>
            </w:r>
            <w:r>
              <w:rPr>
                <w:rFonts w:ascii="Times New Roman" w:hAnsi="Times New Roman"/>
                <w:sz w:val="20"/>
              </w:rPr>
              <w:t>e condições operacionais, registrar quem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aprovou,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horário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retorno e pendências remanescentes.</w:t>
            </w:r>
          </w:p>
        </w:tc>
      </w:tr>
    </w:tbl>
    <w:p>
      <w:pPr>
        <w:pStyle w:val="BodyText"/>
        <w:keepNext w:val="0"/>
        <w:keepLines w:val="0"/>
        <w:widowControl/>
        <w:spacing w:before="181"/>
      </w:pPr>
    </w:p>
    <w:p>
      <w:pPr>
        <w:pStyle w:val="BodyText"/>
        <w:keepNext w:val="0"/>
        <w:keepLines w:val="0"/>
        <w:widowControl/>
        <w:spacing w:line="360" w:lineRule="auto"/>
        <w:ind w:left="427" w:right="425" w:firstLine="1132"/>
        <w:jc w:val="both"/>
      </w:pPr>
      <w:r>
        <w:rPr>
          <w:rFonts w:ascii="Times New Roman" w:hAnsi="Times New Roman"/>
          <w:sz w:val="24"/>
        </w:rPr>
        <w:t>A Alta Administração deve designar os titulares e substitutos de cada função e manter seus contatos atualizados. Uma pessoa poderá acumular atribuições quando isso não gerar conflito entre as atividades de execução, validação e autorização das decisões.</w:t>
      </w:r>
    </w:p>
    <w:p>
      <w:pPr>
        <w:pStyle w:val="Heading1"/>
        <w:keepNext/>
        <w:pageBreakBefore/>
        <w:numPr>
          <w:ilvl w:val="0"/>
          <w:numId w:val="1"/>
        </w:numPr>
        <w:tabs>
          <w:tab w:pos="858" w:val="left" w:leader="none"/>
        </w:tabs>
        <w:spacing w:line="240" w:lineRule="auto" w:before="203" w:after="0"/>
        <w:ind w:left="858" w:right="0" w:hanging="431"/>
        <w:jc w:val="both"/>
      </w:pPr>
      <w:r>
        <w:rPr/>
        <w:t>Testes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Revisão</w:t>
      </w:r>
    </w:p>
    <w:p>
      <w:pPr>
        <w:pStyle w:val="BodyText"/>
        <w:keepNext w:val="0"/>
        <w:keepLines w:val="0"/>
        <w:widowControl/>
        <w:spacing w:line="360" w:lineRule="auto" w:before="153"/>
        <w:ind w:left="427" w:right="423" w:firstLine="1132"/>
        <w:jc w:val="both"/>
      </w:pPr>
      <w:r>
        <w:rPr>
          <w:rFonts w:ascii="Times New Roman" w:hAnsi="Times New Roman"/>
          <w:sz w:val="24"/>
        </w:rPr>
        <w:t>O PCN deverá ser testado por exercícios controlados e revisto após incidentes, falhas nos testes ou mudanças relevantes. Os testes ocorrerão em condições controladas, sem comprometer sistemas ou operações reais de voo, e gerarão registros do cenário, dos participantes, dos resultados, das falhas, das ações corretivas, dos responsáveis e da próxima verificação.</w:t>
      </w:r>
    </w:p>
    <w:p>
      <w:pPr>
        <w:pStyle w:val="BodyText"/>
        <w:keepNext w:val="0"/>
        <w:keepLines w:val="0"/>
        <w:widowControl/>
        <w:spacing w:before="8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4762"/>
        <w:gridCol w:w="2497"/>
      </w:tblGrid>
      <w:tr>
        <w:trPr/>
        <w:tc>
          <w:tcPr>
            <w:tcW w:w="2381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18"/>
              </w:rPr>
              <w:t>Exercício</w:t>
            </w:r>
          </w:p>
        </w:tc>
        <w:tc>
          <w:tcPr>
            <w:tcW w:w="476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18"/>
              </w:rPr>
              <w:t>Objetivo</w:t>
            </w:r>
            <w:r>
              <w:rPr>
                <w:rFonts w:ascii="Times New Roman" w:hAnsi="Times New Roman"/>
                <w:b/>
                <w:spacing w:val="-1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8"/>
              </w:rPr>
              <w:t>/ 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cenário</w:t>
            </w:r>
          </w:p>
        </w:tc>
        <w:tc>
          <w:tcPr>
            <w:tcW w:w="2497" w:type="dxa"/>
            <w:shd w:val="clear" w:color="auto" w:fill="E7ECF1"/>
            <w:vAlign w:val="center"/>
          </w:tcPr>
          <w:p>
            <w:pPr>
              <w:pStyle w:val="TableParagraph"/>
              <w:spacing w:line="240" w:lineRule="auto" w:before="0" w:after="0"/>
              <w:ind w:left="91" w:right="107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18"/>
              </w:rPr>
              <w:t>Detalhamento operacional</w:t>
            </w:r>
          </w:p>
        </w:tc>
      </w:tr>
      <w:tr>
        <w:trPr/>
        <w:tc>
          <w:tcPr>
            <w:tcW w:w="238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Simulação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rFonts w:ascii="Times New Roman" w:hAnsi="Times New Roman"/>
                <w:spacing w:val="-4"/>
                <w:sz w:val="18"/>
              </w:rPr>
              <w:t>mesa</w:t>
            </w:r>
          </w:p>
        </w:tc>
        <w:tc>
          <w:tcPr>
            <w:tcW w:w="476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Percorrer C01 a C04 e conferir decisões, contatos e dependências, sem </w:t>
            </w:r>
            <w:r>
              <w:rPr>
                <w:rFonts w:ascii="Times New Roman" w:hAnsi="Times New Roman"/>
                <w:sz w:val="18"/>
              </w:rPr>
              <w:t>interromper </w:t>
            </w:r>
            <w:r>
              <w:rPr>
                <w:rFonts w:ascii="Times New Roman" w:hAnsi="Times New Roman"/>
                <w:spacing w:val="-2"/>
                <w:sz w:val="18"/>
              </w:rPr>
              <w:t>operações.</w:t>
            </w:r>
          </w:p>
        </w:tc>
        <w:tc>
          <w:tcPr>
            <w:tcW w:w="2497" w:type="dxa"/>
            <w:vAlign w:val="top"/>
          </w:tcPr>
          <w:p>
            <w:pPr>
              <w:pStyle w:val="TableParagraph"/>
              <w:tabs>
                <w:tab w:pos="1118" w:val="left" w:leader="none"/>
                <w:tab w:pos="1283" w:val="left" w:leader="none"/>
                <w:tab w:pos="1377" w:val="left" w:leader="none"/>
                <w:tab w:pos="1456" w:val="left" w:leader="none"/>
                <w:tab w:pos="1509" w:val="left" w:leader="none"/>
                <w:tab w:pos="1657" w:val="left" w:leader="none"/>
                <w:tab w:pos="1770" w:val="left" w:leader="none"/>
              </w:tabs>
              <w:spacing w:line="240" w:lineRule="auto" w:before="0" w:after="0"/>
              <w:ind w:left="91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Responsáveis: coordenação do PCN, TI e áreas operacionais. Frequência: semestral. Evidência: ata, participantes, decisões e falhas. Aprovação: funções críticas identificadas, decisões registradas e ações corretivas atribuídas.</w:t>
            </w:r>
          </w:p>
        </w:tc>
      </w:tr>
      <w:tr>
        <w:trPr/>
        <w:tc>
          <w:tcPr>
            <w:tcW w:w="2381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408" w:val="left" w:leader="none"/>
              </w:tabs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Teste de restauração em ambiente apropriado</w:t>
            </w:r>
          </w:p>
        </w:tc>
        <w:tc>
          <w:tcPr>
            <w:tcW w:w="476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Verificar uma cópia, restaurar dados de teste </w:t>
            </w:r>
            <w:r>
              <w:rPr>
                <w:rFonts w:ascii="Times New Roman" w:hAnsi="Times New Roman"/>
                <w:sz w:val="18"/>
              </w:rPr>
              <w:t>e conferir integridade.</w:t>
            </w:r>
          </w:p>
        </w:tc>
        <w:tc>
          <w:tcPr>
            <w:tcW w:w="2497" w:type="dxa"/>
            <w:shd w:val="clear" w:color="auto" w:fill="F7F8F9"/>
            <w:vAlign w:val="top"/>
          </w:tcPr>
          <w:p>
            <w:pPr>
              <w:pStyle w:val="TableParagraph"/>
              <w:tabs>
                <w:tab w:pos="2296" w:val="left" w:leader="none"/>
              </w:tabs>
              <w:spacing w:line="240" w:lineRule="auto" w:before="0" w:after="0"/>
              <w:ind w:left="91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Recurso: cópia de teste ou offline em ambiente apropriado. Responsáveis: TI e responsável pelo processo ou pelos dados. Frequência: trimestral e após mudanças relevantes. Evidência: registro da restauração e da verificação de integridade. Aprovação: dados de teste recuperados e conferidos sem afetar a produção.</w:t>
            </w:r>
          </w:p>
        </w:tc>
      </w:tr>
      <w:tr>
        <w:trPr/>
        <w:tc>
          <w:tcPr>
            <w:tcW w:w="238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Teste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2"/>
                <w:sz w:val="18"/>
              </w:rPr>
              <w:t> comunicação</w:t>
            </w:r>
          </w:p>
        </w:tc>
        <w:tc>
          <w:tcPr>
            <w:tcW w:w="476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Verificar</w:t>
            </w:r>
            <w:r>
              <w:rPr>
                <w:rFonts w:ascii="Times New Roman" w:hAnsi="Times New Roman"/>
                <w:spacing w:val="8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acionamento</w:t>
            </w:r>
            <w:r>
              <w:rPr>
                <w:rFonts w:ascii="Times New Roman" w:hAnsi="Times New Roman"/>
                <w:spacing w:val="8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interno</w:t>
            </w:r>
            <w:r>
              <w:rPr>
                <w:rFonts w:ascii="Times New Roman" w:hAnsi="Times New Roman"/>
                <w:spacing w:val="8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</w:t>
            </w:r>
            <w:r>
              <w:rPr>
                <w:rFonts w:ascii="Times New Roman" w:hAnsi="Times New Roman"/>
                <w:spacing w:val="8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alternativa quando o canal principal falhar.</w:t>
            </w:r>
          </w:p>
        </w:tc>
        <w:tc>
          <w:tcPr>
            <w:tcW w:w="2497" w:type="dxa"/>
            <w:vAlign w:val="top"/>
          </w:tcPr>
          <w:p>
            <w:pPr>
              <w:pStyle w:val="TableParagraph"/>
              <w:tabs>
                <w:tab w:pos="1019" w:val="left" w:leader="none"/>
                <w:tab w:pos="1286" w:val="left" w:leader="none"/>
                <w:tab w:pos="1316" w:val="left" w:leader="none"/>
                <w:tab w:pos="1425" w:val="left" w:leader="none"/>
                <w:tab w:pos="1804" w:val="left" w:leader="none"/>
                <w:tab w:pos="1910" w:val="left" w:leader="none"/>
                <w:tab w:pos="2296" w:val="left" w:leader="none"/>
              </w:tabs>
              <w:spacing w:line="240" w:lineRule="auto" w:before="0" w:after="0"/>
              <w:ind w:left="91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Responsáveis: coordenação do PCN, TI e áreas que usam os canais. Frequência: trimestral. Evidência: registro dos contatos e canais testados. Aprovação: o canal principal e o canal alternativo funcionam, os contatos estão atualizados e as falhas têm responsável definido.</w:t>
            </w:r>
          </w:p>
        </w:tc>
      </w:tr>
      <w:tr>
        <w:trPr/>
        <w:tc>
          <w:tcPr>
            <w:tcW w:w="2381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Revisão</w:t>
            </w:r>
            <w:r>
              <w:rPr>
                <w:rFonts w:ascii="Times New Roman" w:hAnsi="Times New Roman"/>
                <w:spacing w:val="8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após</w:t>
            </w:r>
            <w:r>
              <w:rPr>
                <w:rFonts w:ascii="Times New Roman" w:hAnsi="Times New Roman"/>
                <w:spacing w:val="8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evento ou mudança</w:t>
            </w:r>
          </w:p>
        </w:tc>
        <w:tc>
          <w:tcPr>
            <w:tcW w:w="476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Atualizar cenários, prioridades e recursos e comunicar as mudanças às áreas responsáveis.</w:t>
            </w:r>
          </w:p>
        </w:tc>
        <w:tc>
          <w:tcPr>
            <w:tcW w:w="2497" w:type="dxa"/>
            <w:shd w:val="clear" w:color="auto" w:fill="F7F8F9"/>
            <w:vAlign w:val="top"/>
          </w:tcPr>
          <w:p>
            <w:pPr>
              <w:pStyle w:val="TableParagraph"/>
              <w:tabs>
                <w:tab w:pos="1379" w:val="left" w:leader="none"/>
                <w:tab w:pos="1538" w:val="left" w:leader="none"/>
                <w:tab w:pos="1823" w:val="left" w:leader="none"/>
                <w:tab w:pos="2003" w:val="left" w:leader="none"/>
                <w:tab w:pos="2296" w:val="left" w:leader="none"/>
              </w:tabs>
              <w:spacing w:line="240" w:lineRule="auto" w:before="0" w:after="0"/>
              <w:ind w:left="91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Gatilho: após incidente, teste ou mudança relevante e, no mínimo, anualmente. Responsáveis: coordenação do PCN, com TI, operações e responsáveis pela PSI e pela PGR. Evidência: versão revisada, aprovação e comunicação das alterações. Aprovação: ações atribuídas e áreas afetadas informadas.</w:t>
            </w:r>
          </w:p>
        </w:tc>
      </w:tr>
    </w:tbl>
    <w:p>
      <w:pPr>
        <w:pStyle w:val="BodyText"/>
        <w:keepNext w:val="0"/>
        <w:keepLines w:val="0"/>
        <w:widowControl/>
        <w:spacing w:before="182"/>
      </w:pPr>
    </w:p>
    <w:p>
      <w:pPr>
        <w:keepNext w:val="0"/>
        <w:keepLines w:val="0"/>
        <w:widowControl/>
        <w:spacing w:before="62"/>
        <w:ind w:left="427" w:right="0" w:firstLine="0"/>
        <w:jc w:val="left"/>
        <w:rPr>
          <w:b/>
          <w:sz w:val="24"/>
        </w:rPr>
      </w:pPr>
      <w:r>
        <w:rPr>
          <w:b/>
          <w:color w:val="404040"/>
          <w:sz w:val="24"/>
        </w:rPr>
        <w:t>Referências</w:t>
      </w:r>
      <w:r>
        <w:rPr>
          <w:b/>
          <w:color w:val="404040"/>
          <w:spacing w:val="-1"/>
          <w:sz w:val="24"/>
        </w:rPr>
        <w:t> </w:t>
      </w:r>
      <w:r>
        <w:rPr>
          <w:b/>
          <w:color w:val="404040"/>
          <w:sz w:val="24"/>
        </w:rPr>
        <w:t>de</w:t>
      </w:r>
      <w:r>
        <w:rPr>
          <w:b/>
          <w:color w:val="404040"/>
          <w:spacing w:val="-2"/>
          <w:sz w:val="24"/>
        </w:rPr>
        <w:t> </w:t>
      </w:r>
      <w:r>
        <w:rPr>
          <w:b/>
          <w:color w:val="404040"/>
          <w:sz w:val="24"/>
        </w:rPr>
        <w:t>apoio</w:t>
      </w:r>
      <w:r>
        <w:rPr>
          <w:b/>
          <w:color w:val="404040"/>
          <w:spacing w:val="-1"/>
          <w:sz w:val="24"/>
        </w:rPr>
        <w:t> </w:t>
      </w:r>
      <w:r>
        <w:rPr>
          <w:b/>
          <w:color w:val="404040"/>
          <w:sz w:val="24"/>
        </w:rPr>
        <w:t>à</w:t>
      </w:r>
      <w:r>
        <w:rPr>
          <w:b/>
          <w:color w:val="404040"/>
          <w:spacing w:val="-1"/>
          <w:sz w:val="24"/>
        </w:rPr>
        <w:t> </w:t>
      </w:r>
      <w:r>
        <w:rPr>
          <w:b/>
          <w:color w:val="404040"/>
          <w:spacing w:val="-2"/>
          <w:sz w:val="24"/>
        </w:rPr>
        <w:t>elaboração</w:t>
      </w:r>
    </w:p>
    <w:p>
      <w:pPr>
        <w:pStyle w:val="BodyText"/>
        <w:keepNext w:val="0"/>
        <w:keepLines w:val="0"/>
        <w:widowControl/>
        <w:spacing w:before="99"/>
        <w:ind w:left="427"/>
      </w:pPr>
      <w:hyperlink r:id="rId9">
        <w:r>
          <w:rPr>
            <w:color w:val="224E6F"/>
            <w:u w:val="single" w:color="224E6F"/>
          </w:rPr>
          <w:t>ANAC — Portaria</w:t>
        </w:r>
        <w:r>
          <w:rPr>
            <w:color w:val="224E6F"/>
            <w:spacing w:val="-2"/>
            <w:u w:val="single" w:color="224E6F"/>
          </w:rPr>
          <w:t> </w:t>
        </w:r>
        <w:r>
          <w:rPr>
            <w:color w:val="224E6F"/>
            <w:u w:val="single" w:color="224E6F"/>
          </w:rPr>
          <w:t>nº</w:t>
        </w:r>
        <w:r>
          <w:rPr>
            <w:color w:val="224E6F"/>
            <w:spacing w:val="1"/>
            <w:u w:val="single" w:color="224E6F"/>
          </w:rPr>
          <w:t> </w:t>
        </w:r>
        <w:r>
          <w:rPr>
            <w:color w:val="224E6F"/>
            <w:u w:val="single" w:color="224E6F"/>
          </w:rPr>
          <w:t>9.459/STI</w:t>
        </w:r>
        <w:r>
          <w:rPr>
            <w:color w:val="224E6F"/>
            <w:spacing w:val="-4"/>
            <w:u w:val="single" w:color="224E6F"/>
          </w:rPr>
          <w:t> </w:t>
        </w:r>
        <w:r>
          <w:rPr>
            <w:color w:val="224E6F"/>
            <w:u w:val="single" w:color="224E6F"/>
          </w:rPr>
          <w:t>de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6</w:t>
        </w:r>
        <w:r>
          <w:rPr>
            <w:color w:val="224E6F"/>
            <w:spacing w:val="1"/>
            <w:u w:val="single" w:color="224E6F"/>
          </w:rPr>
          <w:t> </w:t>
        </w:r>
        <w:r>
          <w:rPr>
            <w:color w:val="224E6F"/>
            <w:u w:val="single" w:color="224E6F"/>
          </w:rPr>
          <w:t>de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outubro de </w:t>
        </w:r>
        <w:r>
          <w:rPr>
            <w:color w:val="224E6F"/>
            <w:spacing w:val="-4"/>
            <w:u w:val="single" w:color="224E6F"/>
          </w:rPr>
          <w:t>2022</w:t>
        </w:r>
      </w:hyperlink>
    </w:p>
    <w:p>
      <w:pPr>
        <w:pStyle w:val="BodyText"/>
        <w:keepNext w:val="0"/>
        <w:keepLines w:val="0"/>
        <w:widowControl/>
        <w:spacing w:line="249" w:lineRule="auto" w:before="115"/>
        <w:ind w:left="427" w:right="545"/>
      </w:pPr>
      <w:r>
        <w:rPr>
          <w:color w:val="404040"/>
        </w:rPr>
        <w:t>Apoio</w:t>
      </w:r>
      <w:r>
        <w:rPr>
          <w:color w:val="404040"/>
          <w:spacing w:val="-3"/>
        </w:rPr>
        <w:t> </w:t>
      </w:r>
      <w:r>
        <w:rPr>
          <w:color w:val="404040"/>
        </w:rPr>
        <w:t>para</w:t>
      </w:r>
      <w:r>
        <w:rPr>
          <w:color w:val="404040"/>
          <w:spacing w:val="-5"/>
        </w:rPr>
        <w:t> </w:t>
      </w:r>
      <w:r>
        <w:rPr>
          <w:color w:val="404040"/>
        </w:rPr>
        <w:t>criticidade,</w:t>
      </w:r>
      <w:r>
        <w:rPr>
          <w:color w:val="404040"/>
          <w:spacing w:val="-1"/>
        </w:rPr>
        <w:t> </w:t>
      </w:r>
      <w:r>
        <w:rPr>
          <w:color w:val="404040"/>
        </w:rPr>
        <w:t>ativação,</w:t>
      </w:r>
      <w:r>
        <w:rPr>
          <w:color w:val="404040"/>
          <w:spacing w:val="-3"/>
        </w:rPr>
        <w:t> </w:t>
      </w:r>
      <w:r>
        <w:rPr>
          <w:color w:val="404040"/>
        </w:rPr>
        <w:t>recuperação</w:t>
      </w:r>
      <w:r>
        <w:rPr>
          <w:color w:val="404040"/>
          <w:spacing w:val="-3"/>
        </w:rPr>
        <w:t> </w:t>
      </w:r>
      <w:r>
        <w:rPr>
          <w:color w:val="404040"/>
        </w:rPr>
        <w:t>e</w:t>
      </w:r>
      <w:r>
        <w:rPr>
          <w:color w:val="404040"/>
          <w:spacing w:val="-4"/>
        </w:rPr>
        <w:t> </w:t>
      </w:r>
      <w:r>
        <w:rPr>
          <w:color w:val="404040"/>
        </w:rPr>
        <w:t>testes.</w:t>
      </w:r>
      <w:r>
        <w:rPr>
          <w:color w:val="404040"/>
          <w:spacing w:val="-3"/>
        </w:rPr>
        <w:t> </w:t>
      </w:r>
      <w:r>
        <w:rPr>
          <w:color w:val="404040"/>
        </w:rPr>
        <w:t>Trata</w:t>
      </w:r>
      <w:r>
        <w:rPr>
          <w:color w:val="404040"/>
          <w:spacing w:val="-3"/>
        </w:rPr>
        <w:t> </w:t>
      </w:r>
      <w:r>
        <w:rPr>
          <w:color w:val="404040"/>
        </w:rPr>
        <w:t>da</w:t>
      </w:r>
      <w:r>
        <w:rPr>
          <w:color w:val="404040"/>
          <w:spacing w:val="-5"/>
        </w:rPr>
        <w:t> </w:t>
      </w:r>
      <w:r>
        <w:rPr>
          <w:color w:val="404040"/>
        </w:rPr>
        <w:t>gestão</w:t>
      </w:r>
      <w:r>
        <w:rPr>
          <w:color w:val="404040"/>
          <w:spacing w:val="-3"/>
        </w:rPr>
        <w:t> </w:t>
      </w:r>
      <w:r>
        <w:rPr>
          <w:color w:val="404040"/>
        </w:rPr>
        <w:t>interna</w:t>
      </w:r>
      <w:r>
        <w:rPr>
          <w:color w:val="404040"/>
          <w:spacing w:val="-4"/>
        </w:rPr>
        <w:t> </w:t>
      </w:r>
      <w:r>
        <w:rPr>
          <w:color w:val="404040"/>
        </w:rPr>
        <w:t>de</w:t>
      </w:r>
      <w:r>
        <w:rPr>
          <w:color w:val="404040"/>
          <w:spacing w:val="-4"/>
        </w:rPr>
        <w:t> </w:t>
      </w:r>
      <w:r>
        <w:rPr>
          <w:color w:val="404040"/>
        </w:rPr>
        <w:t>TI</w:t>
      </w:r>
      <w:r>
        <w:rPr>
          <w:color w:val="404040"/>
          <w:spacing w:val="-7"/>
        </w:rPr>
        <w:t> </w:t>
      </w:r>
      <w:r>
        <w:rPr>
          <w:color w:val="404040"/>
        </w:rPr>
        <w:t>da ANAC; não é apresentada como obrigação automática de uma companhia aérea.</w:t>
      </w:r>
    </w:p>
    <w:p>
      <w:pPr>
        <w:pStyle w:val="BodyText"/>
        <w:keepNext w:val="0"/>
        <w:keepLines w:val="0"/>
        <w:widowControl/>
        <w:spacing w:before="106"/>
        <w:ind w:left="427"/>
      </w:pPr>
      <w:hyperlink r:id="rId10">
        <w:r>
          <w:rPr>
            <w:color w:val="224E6F"/>
            <w:u w:val="single" w:color="224E6F"/>
          </w:rPr>
          <w:t>Kit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3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— Gerenciamento</w:t>
        </w:r>
        <w:r>
          <w:rPr>
            <w:color w:val="224E6F"/>
            <w:spacing w:val="1"/>
            <w:u w:val="single" w:color="224E6F"/>
          </w:rPr>
          <w:t> </w:t>
        </w:r>
        <w:r>
          <w:rPr>
            <w:color w:val="224E6F"/>
            <w:u w:val="single" w:color="224E6F"/>
          </w:rPr>
          <w:t>da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Continuidade</w:t>
        </w:r>
        <w:r>
          <w:rPr>
            <w:color w:val="224E6F"/>
            <w:spacing w:val="-3"/>
            <w:u w:val="single" w:color="224E6F"/>
          </w:rPr>
          <w:t> </w:t>
        </w:r>
        <w:r>
          <w:rPr>
            <w:color w:val="224E6F"/>
            <w:u w:val="single" w:color="224E6F"/>
          </w:rPr>
          <w:t>dos </w:t>
        </w:r>
        <w:r>
          <w:rPr>
            <w:color w:val="224E6F"/>
            <w:spacing w:val="-2"/>
            <w:u w:val="single" w:color="224E6F"/>
          </w:rPr>
          <w:t>Serviços</w:t>
        </w:r>
      </w:hyperlink>
    </w:p>
    <w:p>
      <w:pPr>
        <w:pStyle w:val="BodyText"/>
        <w:keepNext w:val="0"/>
        <w:keepLines w:val="0"/>
        <w:widowControl/>
        <w:spacing w:line="252" w:lineRule="auto" w:before="113"/>
        <w:ind w:left="427"/>
      </w:pPr>
      <w:r>
        <w:rPr>
          <w:color w:val="404040"/>
        </w:rPr>
        <w:t>SEST</w:t>
      </w:r>
      <w:r>
        <w:rPr>
          <w:color w:val="404040"/>
          <w:spacing w:val="-3"/>
        </w:rPr>
        <w:t> </w:t>
      </w:r>
      <w:r>
        <w:rPr>
          <w:color w:val="404040"/>
        </w:rPr>
        <w:t>/</w:t>
      </w:r>
      <w:r>
        <w:rPr>
          <w:color w:val="404040"/>
          <w:spacing w:val="-3"/>
        </w:rPr>
        <w:t> </w:t>
      </w:r>
      <w:r>
        <w:rPr>
          <w:color w:val="404040"/>
        </w:rPr>
        <w:t>Ministério</w:t>
      </w:r>
      <w:r>
        <w:rPr>
          <w:color w:val="404040"/>
          <w:spacing w:val="-3"/>
        </w:rPr>
        <w:t> </w:t>
      </w:r>
      <w:r>
        <w:rPr>
          <w:color w:val="404040"/>
        </w:rPr>
        <w:t>do</w:t>
      </w:r>
      <w:r>
        <w:rPr>
          <w:color w:val="404040"/>
          <w:spacing w:val="-3"/>
        </w:rPr>
        <w:t> </w:t>
      </w:r>
      <w:r>
        <w:rPr>
          <w:color w:val="404040"/>
        </w:rPr>
        <w:t>Planejamento</w:t>
      </w:r>
      <w:r>
        <w:rPr>
          <w:color w:val="404040"/>
          <w:spacing w:val="-3"/>
        </w:rPr>
        <w:t> </w:t>
      </w:r>
      <w:r>
        <w:rPr>
          <w:color w:val="404040"/>
        </w:rPr>
        <w:t>/</w:t>
      </w:r>
      <w:r>
        <w:rPr>
          <w:color w:val="404040"/>
          <w:spacing w:val="-3"/>
        </w:rPr>
        <w:t> </w:t>
      </w:r>
      <w:r>
        <w:rPr>
          <w:color w:val="404040"/>
        </w:rPr>
        <w:t>UnB,</w:t>
      </w:r>
      <w:r>
        <w:rPr>
          <w:color w:val="404040"/>
          <w:spacing w:val="-3"/>
        </w:rPr>
        <w:t> </w:t>
      </w:r>
      <w:r>
        <w:rPr>
          <w:color w:val="404040"/>
        </w:rPr>
        <w:t>2018,</w:t>
      </w:r>
      <w:r>
        <w:rPr>
          <w:color w:val="404040"/>
          <w:spacing w:val="-3"/>
        </w:rPr>
        <w:t> </w:t>
      </w:r>
      <w:r>
        <w:rPr>
          <w:color w:val="404040"/>
        </w:rPr>
        <w:t>disponível</w:t>
      </w:r>
      <w:r>
        <w:rPr>
          <w:color w:val="404040"/>
          <w:spacing w:val="-3"/>
        </w:rPr>
        <w:t> </w:t>
      </w:r>
      <w:r>
        <w:rPr>
          <w:color w:val="404040"/>
        </w:rPr>
        <w:t>no</w:t>
      </w:r>
      <w:r>
        <w:rPr>
          <w:color w:val="404040"/>
          <w:spacing w:val="-3"/>
        </w:rPr>
        <w:t> </w:t>
      </w:r>
      <w:r>
        <w:rPr>
          <w:color w:val="404040"/>
        </w:rPr>
        <w:t>portal</w:t>
      </w:r>
      <w:r>
        <w:rPr>
          <w:color w:val="404040"/>
          <w:spacing w:val="-3"/>
        </w:rPr>
        <w:t> </w:t>
      </w:r>
      <w:r>
        <w:rPr>
          <w:color w:val="404040"/>
        </w:rPr>
        <w:t>do</w:t>
      </w:r>
      <w:r>
        <w:rPr>
          <w:color w:val="404040"/>
          <w:spacing w:val="-3"/>
        </w:rPr>
        <w:t> </w:t>
      </w:r>
      <w:r>
        <w:rPr>
          <w:color w:val="404040"/>
        </w:rPr>
        <w:t>MGI.</w:t>
      </w:r>
      <w:r>
        <w:rPr>
          <w:color w:val="404040"/>
          <w:spacing w:val="-1"/>
        </w:rPr>
        <w:t> </w:t>
      </w:r>
      <w:r>
        <w:rPr>
          <w:color w:val="404040"/>
        </w:rPr>
        <w:t>Apoio</w:t>
      </w:r>
      <w:r>
        <w:rPr>
          <w:color w:val="404040"/>
          <w:spacing w:val="-3"/>
        </w:rPr>
        <w:t> </w:t>
      </w:r>
      <w:r>
        <w:rPr>
          <w:color w:val="404040"/>
        </w:rPr>
        <w:t>para recursos, atividades, responsáveis e manutenção da continuidade.</w:t>
      </w:r>
    </w:p>
    <w:p>
      <w:pPr>
        <w:pStyle w:val="BodyText"/>
        <w:keepNext w:val="0"/>
        <w:keepLines w:val="0"/>
        <w:widowControl/>
        <w:spacing w:before="100"/>
        <w:ind w:left="427"/>
      </w:pPr>
      <w:hyperlink r:id="rId11">
        <w:r>
          <w:rPr>
            <w:color w:val="224E6F"/>
            <w:u w:val="single" w:color="224E6F"/>
          </w:rPr>
          <w:t>GOL</w:t>
        </w:r>
        <w:r>
          <w:rPr>
            <w:color w:val="224E6F"/>
            <w:spacing w:val="-3"/>
            <w:u w:val="single" w:color="224E6F"/>
          </w:rPr>
          <w:t> </w:t>
        </w:r>
        <w:r>
          <w:rPr>
            <w:color w:val="224E6F"/>
            <w:u w:val="single" w:color="224E6F"/>
          </w:rPr>
          <w:t>—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Política</w:t>
        </w:r>
        <w:r>
          <w:rPr>
            <w:color w:val="224E6F"/>
            <w:spacing w:val="-2"/>
            <w:u w:val="single" w:color="224E6F"/>
          </w:rPr>
          <w:t> </w:t>
        </w:r>
        <w:r>
          <w:rPr>
            <w:color w:val="224E6F"/>
            <w:u w:val="single" w:color="224E6F"/>
          </w:rPr>
          <w:t>de</w:t>
        </w:r>
        <w:r>
          <w:rPr>
            <w:color w:val="224E6F"/>
            <w:spacing w:val="-2"/>
            <w:u w:val="single" w:color="224E6F"/>
          </w:rPr>
          <w:t> </w:t>
        </w:r>
        <w:r>
          <w:rPr>
            <w:color w:val="224E6F"/>
            <w:u w:val="single" w:color="224E6F"/>
          </w:rPr>
          <w:t>Segurança</w:t>
        </w:r>
        <w:r>
          <w:rPr>
            <w:color w:val="224E6F"/>
            <w:spacing w:val="-2"/>
            <w:u w:val="single" w:color="224E6F"/>
          </w:rPr>
          <w:t> </w:t>
        </w:r>
        <w:r>
          <w:rPr>
            <w:color w:val="224E6F"/>
            <w:u w:val="single" w:color="224E6F"/>
          </w:rPr>
          <w:t>da Informação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para </w:t>
        </w:r>
        <w:r>
          <w:rPr>
            <w:color w:val="224E6F"/>
            <w:spacing w:val="-2"/>
            <w:u w:val="single" w:color="224E6F"/>
          </w:rPr>
          <w:t>Terceiros</w:t>
        </w:r>
      </w:hyperlink>
    </w:p>
    <w:p>
      <w:pPr>
        <w:pStyle w:val="BodyText"/>
        <w:keepNext w:val="0"/>
        <w:keepLines w:val="0"/>
        <w:widowControl/>
        <w:spacing w:line="249" w:lineRule="auto" w:before="115"/>
        <w:ind w:left="427" w:right="350"/>
      </w:pPr>
      <w:r>
        <w:rPr>
          <w:rFonts w:ascii="Times New Roman" w:hAnsi="Times New Roman"/>
          <w:sz w:val="24"/>
        </w:rPr>
        <w:t>Revisão 01, 12/06/2025. Apoio para fornecedores, acesso, registros, backup e continuidade.</w:t>
      </w:r>
    </w:p>
    <w:p>
      <w:pPr>
        <w:pStyle w:val="BodyText"/>
        <w:keepNext w:val="0"/>
        <w:keepLines w:val="0"/>
        <w:widowControl/>
        <w:spacing w:before="105"/>
        <w:ind w:left="427"/>
      </w:pPr>
      <w:hyperlink r:id="rId12">
        <w:r>
          <w:rPr>
            <w:color w:val="224E6F"/>
            <w:u w:val="single" w:color="224E6F"/>
          </w:rPr>
          <w:t>LGPD</w:t>
        </w:r>
        <w:r>
          <w:rPr>
            <w:color w:val="224E6F"/>
            <w:spacing w:val="-2"/>
            <w:u w:val="single" w:color="224E6F"/>
          </w:rPr>
          <w:t> </w:t>
        </w:r>
        <w:r>
          <w:rPr>
            <w:color w:val="224E6F"/>
            <w:u w:val="single" w:color="224E6F"/>
          </w:rPr>
          <w:t>—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Lei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nº </w:t>
        </w:r>
        <w:r>
          <w:rPr>
            <w:color w:val="224E6F"/>
            <w:spacing w:val="-2"/>
            <w:u w:val="single" w:color="224E6F"/>
          </w:rPr>
          <w:t>13.709/2018</w:t>
        </w:r>
      </w:hyperlink>
    </w:p>
    <w:p>
      <w:pPr>
        <w:pStyle w:val="BodyText"/>
        <w:keepNext w:val="0"/>
        <w:keepLines w:val="0"/>
        <w:widowControl/>
        <w:spacing w:line="252" w:lineRule="auto" w:before="113"/>
        <w:ind w:left="427" w:right="350"/>
      </w:pPr>
      <w:r>
        <w:rPr>
          <w:color w:val="404040"/>
        </w:rPr>
        <w:t>Texto</w:t>
      </w:r>
      <w:r>
        <w:rPr>
          <w:color w:val="404040"/>
          <w:spacing w:val="-4"/>
        </w:rPr>
        <w:t> </w:t>
      </w:r>
      <w:r>
        <w:rPr>
          <w:color w:val="404040"/>
        </w:rPr>
        <w:t>oficial.</w:t>
      </w:r>
      <w:r>
        <w:rPr>
          <w:color w:val="404040"/>
          <w:spacing w:val="-4"/>
        </w:rPr>
        <w:t> </w:t>
      </w:r>
      <w:r>
        <w:rPr>
          <w:color w:val="404040"/>
        </w:rPr>
        <w:t>Apoio</w:t>
      </w:r>
      <w:r>
        <w:rPr>
          <w:color w:val="404040"/>
          <w:spacing w:val="-4"/>
        </w:rPr>
        <w:t> </w:t>
      </w:r>
      <w:r>
        <w:rPr>
          <w:color w:val="404040"/>
        </w:rPr>
        <w:t>para</w:t>
      </w:r>
      <w:r>
        <w:rPr>
          <w:color w:val="404040"/>
          <w:spacing w:val="-3"/>
        </w:rPr>
        <w:t> </w:t>
      </w:r>
      <w:r>
        <w:rPr>
          <w:color w:val="404040"/>
        </w:rPr>
        <w:t>proteção</w:t>
      </w:r>
      <w:r>
        <w:rPr>
          <w:color w:val="404040"/>
          <w:spacing w:val="-4"/>
        </w:rPr>
        <w:t> </w:t>
      </w:r>
      <w:r>
        <w:rPr>
          <w:color w:val="404040"/>
        </w:rPr>
        <w:t>de</w:t>
      </w:r>
      <w:r>
        <w:rPr>
          <w:color w:val="404040"/>
          <w:spacing w:val="-5"/>
        </w:rPr>
        <w:t> </w:t>
      </w:r>
      <w:r>
        <w:rPr>
          <w:color w:val="404040"/>
        </w:rPr>
        <w:t>dados</w:t>
      </w:r>
      <w:r>
        <w:rPr>
          <w:color w:val="404040"/>
          <w:spacing w:val="-4"/>
        </w:rPr>
        <w:t> </w:t>
      </w:r>
      <w:r>
        <w:rPr>
          <w:color w:val="404040"/>
        </w:rPr>
        <w:t>e</w:t>
      </w:r>
      <w:r>
        <w:rPr>
          <w:color w:val="404040"/>
          <w:spacing w:val="-3"/>
        </w:rPr>
        <w:t> </w:t>
      </w:r>
      <w:r>
        <w:rPr>
          <w:color w:val="404040"/>
        </w:rPr>
        <w:t>comunicação</w:t>
      </w:r>
      <w:r>
        <w:rPr>
          <w:color w:val="404040"/>
          <w:spacing w:val="-4"/>
        </w:rPr>
        <w:t> </w:t>
      </w:r>
      <w:r>
        <w:rPr>
          <w:color w:val="404040"/>
        </w:rPr>
        <w:t>de</w:t>
      </w:r>
      <w:r>
        <w:rPr>
          <w:color w:val="404040"/>
          <w:spacing w:val="-5"/>
        </w:rPr>
        <w:t> </w:t>
      </w:r>
      <w:r>
        <w:rPr>
          <w:color w:val="404040"/>
        </w:rPr>
        <w:t>incidentes;</w:t>
      </w:r>
      <w:r>
        <w:rPr>
          <w:color w:val="404040"/>
          <w:spacing w:val="-4"/>
        </w:rPr>
        <w:t> </w:t>
      </w:r>
      <w:r>
        <w:rPr>
          <w:color w:val="404040"/>
        </w:rPr>
        <w:t>verificar regulamentação específica antes de preencher prazos legais.</w:t>
      </w:r>
    </w:p>
    <w:sectPr>
      <w:pgSz w:w="11910" w:h="16840"/>
      <w:pgMar w:header="0" w:footer="538" w:top="1620" w:bottom="76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0864">
              <wp:simplePos x="0" y="0"/>
              <wp:positionH relativeFrom="page">
                <wp:posOffset>3340734</wp:posOffset>
              </wp:positionH>
              <wp:positionV relativeFrom="page">
                <wp:posOffset>9562314</wp:posOffset>
              </wp:positionV>
              <wp:extent cx="880110" cy="4006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80110" cy="400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" w:right="1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Patos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Minas</w:t>
                          </w:r>
                        </w:p>
                        <w:p>
                          <w:pPr>
                            <w:spacing w:before="93"/>
                            <w:ind w:left="0" w:right="1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049988pt;margin-top:752.93811pt;width:69.3pt;height:31.55pt;mso-position-horizontal-relative:page;mso-position-vertical-relative:page;z-index:-1649561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1" w:right="1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Patos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 </w:t>
                    </w:r>
                    <w:r>
                      <w:rPr>
                        <w:spacing w:val="-2"/>
                        <w:sz w:val="22"/>
                      </w:rPr>
                      <w:t>Minas</w:t>
                    </w:r>
                  </w:p>
                  <w:p>
                    <w:pPr>
                      <w:spacing w:before="93"/>
                      <w:ind w:left="0" w:right="1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376">
              <wp:simplePos x="0" y="0"/>
              <wp:positionH relativeFrom="page">
                <wp:posOffset>3301110</wp:posOffset>
              </wp:positionH>
              <wp:positionV relativeFrom="page">
                <wp:posOffset>9621553</wp:posOffset>
              </wp:positionV>
              <wp:extent cx="956944" cy="4273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56944" cy="427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" w:right="2"/>
                            <w:jc w:val="center"/>
                          </w:pPr>
                          <w:r>
                            <w:rPr/>
                            <w:t>Patos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de </w:t>
                          </w:r>
                          <w:r>
                            <w:rPr>
                              <w:spacing w:val="-2"/>
                            </w:rPr>
                            <w:t>Minas</w:t>
                          </w:r>
                        </w:p>
                        <w:p>
                          <w:pPr>
                            <w:pStyle w:val="BodyText"/>
                            <w:spacing w:before="91"/>
                            <w:ind w:left="2"/>
                            <w:jc w:val="center"/>
                          </w:pP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9.929993pt;margin-top:757.60260pt;width:75.350pt;height:33.65pt;mso-position-horizontal-relative:page;mso-position-vertical-relative:page;z-index:-164951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" w:right="2"/>
                      <w:jc w:val="center"/>
                    </w:pPr>
                    <w:r>
                      <w:rPr/>
                      <w:t>Patos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de </w:t>
                    </w:r>
                    <w:r>
                      <w:rPr>
                        <w:spacing w:val="-2"/>
                      </w:rPr>
                      <w:t>Minas</w:t>
                    </w:r>
                  </w:p>
                  <w:p>
                    <w:pPr>
                      <w:pStyle w:val="BodyText"/>
                      <w:spacing w:before="91"/>
                      <w:ind w:left="2"/>
                      <w:jc w:val="center"/>
                    </w:pP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888">
              <wp:simplePos x="0" y="0"/>
              <wp:positionH relativeFrom="page">
                <wp:posOffset>5994653</wp:posOffset>
              </wp:positionH>
              <wp:positionV relativeFrom="page">
                <wp:posOffset>10185907</wp:posOffset>
              </wp:positionV>
              <wp:extent cx="975994" cy="1600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75994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AeroLog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PCN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019989pt;margin-top:802.039978pt;width:76.850pt;height:12.6pt;mso-position-horizontal-relative:page;mso-position-vertical-relative:page;z-index:-16494592" type="#_x0000_t202" id="docshape3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z w:val="16"/>
                      </w:rPr>
                      <w:t>AeroLog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|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PCN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|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859" w:hanging="4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03" w:hanging="57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91" w:hanging="5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82" w:hanging="5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74" w:hanging="5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65" w:hanging="5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7" w:hanging="5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8" w:hanging="5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40" w:hanging="576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22"/>
      <w:ind w:left="858" w:hanging="43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3" w:right="571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858" w:hanging="431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yperlink" Target="https://www.anac.gov.br/assuntos/legislacao/legislacao-1/portarias/2022/portaria-9459" TargetMode="External"/><Relationship Id="rId10" Type="http://schemas.openxmlformats.org/officeDocument/2006/relationships/hyperlink" Target="https://www.gov.br/gestao/pt-br/assuntos/estatais/central-de-conteudo/kits-governanca-ti/kit-3/processo-de-gerenciamento-da-continuidade-dos-servicos-de-tic/kit-3-governanca-tic-artefato-gerenciamento-da-continuidade-dos-servicos.pdf" TargetMode="External"/><Relationship Id="rId11" Type="http://schemas.openxmlformats.org/officeDocument/2006/relationships/hyperlink" Target="https://static.voegol.com.br/voegol/2025-06-27/PO-DTI-SC-003-Pol%C3%ADtica%20de%20Seguran%C3%A7a%20da%20Informa%C3%A7%C3%A3o%20para%20Terceiro_r01.pdf" TargetMode="External"/><Relationship Id="rId12" Type="http://schemas.openxmlformats.org/officeDocument/2006/relationships/hyperlink" Target="https://www.planalto.gov.br/ccivil_03/_ato2015-2018/2018/lei/l13709.htm" TargetMode="External"/><Relationship Id="rId1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Sabrina</dc:creator>
  <dc:title>Plano de Continuidade de Negócios – AeroLog Transportes Aéreos</dc:title>
  <dcterms:created xsi:type="dcterms:W3CDTF">2026-10-13T15:19:25Z</dcterms:created>
  <dcterms:modified xsi:type="dcterms:W3CDTF">2026-10-13T15:19:25Z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LTSC</vt:lpwstr>
  </property>
</Properties>
</file>