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440000" cy="428108"/>
            <wp:effectExtent b="0" l="0" r="0" t="0"/>
            <wp:docPr descr="Logotipo UNIPAM do documento acadêmico de referência" id="1" name="image1.jpg"/>
            <a:graphic>
              <a:graphicData uri="http://schemas.openxmlformats.org/drawingml/2006/picture">
                <pic:pic>
                  <pic:nvPicPr>
                    <pic:cNvPr descr="Logotipo UNIPAM do documento acadêmico de referênc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  <w:rFonts w:ascii="Times New Roman" w:hAnsi="Times New Roman" w:eastAsia="Times New Roman" w:cs="Times New Roman"/>
        </w:rPr>
        <w:t xml:space="preserve">UNIPAM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8"/>
          <w:szCs w:val="28"/>
          <w:b w:val="1"/>
          <w:bCs w:val="1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  <w:rFonts w:ascii="Times New Roman" w:hAnsi="Times New Roman" w:eastAsia="Times New Roman" w:cs="Times New Roman"/>
        </w:rPr>
        <w:t xml:space="preserve">CURSO DE SISTEMAS DE INFORMAÇÃO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8"/>
          <w:szCs w:val="28"/>
          <w:b w:val="1"/>
          <w:bCs w:val="1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Auditoria e Segurança de Sistemas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Turma / período: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6º B</w:t>
      </w:r>
    </w:p>
    <w:p w:rsidR="00000000" w:rsidDel="00000000" w:rsidP="00000000" w:rsidRDefault="00000000" w:rsidRPr="00000000" w14:paraId="00000006">
      <w:pPr>
        <w:spacing w:after="160" w:before="6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  <w:rFonts w:ascii="Times New Roman" w:hAnsi="Times New Roman" w:eastAsia="Times New Roman" w:cs="Times New Roman"/>
        </w:rPr>
        <w:t xml:space="preserve">EQUIPE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8">
      <w:pPr>
        <w:pStyle w:val="Title"/>
        <w:spacing w:after="180" w:before="1160" w:lineRule="auto"/>
        <w:ind w:left="0" w:right="572" w:firstLine="0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 xml:space="preserve">Política de Gestão de Riscos</w:t>
      </w:r>
    </w:p>
    <w:p w:rsidR="00000000" w:rsidDel="00000000" w:rsidP="00000000" w:rsidRDefault="00000000" w:rsidRPr="00000000" w14:paraId="00000009">
      <w:pPr>
        <w:pStyle w:val="Subtitle"/>
        <w:spacing w:after="140" w:before="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AeroLog Transportes Aéreos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PGR — Gestão de riscos de segurança da informação</w:t>
      </w:r>
    </w:p>
    <w:p w:rsidR="00000000" w:rsidDel="00000000" w:rsidP="00000000" w:rsidRDefault="00000000" w:rsidRPr="00000000" w14:paraId="0000000B">
      <w:pPr>
        <w:spacing w:after="80" w:before="2400" w:lineRule="auto"/>
        <w:jc w:val="center"/>
        <w:rPr/>
      </w:pPr>
      <w:r w:rsidDel="00000000" w:rsidR="00000000" w:rsidRPr="00000000">
        <w:rPr>
          <w:sz w:val="24"/>
          <w:szCs w:val="24"/>
          <w:rtl w:val="0"/>
          <w:rFonts w:ascii="Times New Roman" w:hAnsi="Times New Roman" w:eastAsia="Times New Roman" w:cs="Times New Roman"/>
        </w:rPr>
        <w:t xml:space="preserve">Patos de Minas - MG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2026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0E">
      <w:pPr>
        <w:pStyle w:val="Title"/>
        <w:spacing w:after="180" w:before="1700" w:lineRule="auto"/>
        <w:ind w:left="0" w:right="572" w:firstLine="0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 xml:space="preserve">Política de Gestão de Riscos</w:t>
      </w:r>
    </w:p>
    <w:p w:rsidR="00000000" w:rsidDel="00000000" w:rsidP="00000000" w:rsidRDefault="00000000" w:rsidRPr="00000000" w14:paraId="0000000F">
      <w:pPr>
        <w:pStyle w:val="Subtitle"/>
        <w:spacing w:after="800" w:before="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AeroLog Transportes Aéreos</w:t>
      </w:r>
    </w:p>
    <w:p w:rsidR="00000000" w:rsidDel="00000000" w:rsidP="00000000" w:rsidRDefault="00000000" w:rsidRPr="00000000" w14:paraId="00000010">
      <w:pPr>
        <w:spacing w:after="240" w:lineRule="auto"/>
        <w:ind w:left="4252" w:firstLine="0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Documento interno para identificação, avaliação, tratamento e monitoramento dos riscos de segurança da informação da AeroLog Transportes Aéreos.</w:t>
      </w:r>
    </w:p>
    <w:p w:rsidR="00000000" w:rsidDel="00000000" w:rsidP="00000000" w:rsidRDefault="00000000" w:rsidRPr="00000000" w14:paraId="00000011">
      <w:pPr>
        <w:ind w:left="4252" w:firstLine="0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Classificação: Uso interno</w:t>
      </w:r>
    </w:p>
    <w:p w:rsidR="00000000" w:rsidDel="00000000" w:rsidP="00000000" w:rsidRDefault="00000000" w:rsidRPr="00000000" w14:paraId="00000012">
      <w:pPr>
        <w:ind w:left="4252" w:firstLine="0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Versão: 0.4</w:t>
      </w:r>
    </w:p>
    <w:p w:rsidR="00000000" w:rsidDel="00000000" w:rsidP="00000000" w:rsidRDefault="00000000" w:rsidRPr="00000000" w14:paraId="00000013">
      <w:pPr>
        <w:ind w:left="4252" w:firstLine="0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Data de emissão: 18/10/2026</w:t>
      </w:r>
    </w:p>
    <w:p w:rsidR="00000000" w:rsidDel="00000000" w:rsidP="00000000" w:rsidRDefault="00000000" w:rsidRPr="00000000" w14:paraId="00000014">
      <w:pPr>
        <w:spacing w:after="120" w:before="60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Responsável pela elaboração: Gestão de Segurança da Informação</w:t>
      </w:r>
    </w:p>
    <w:p w:rsidR="00000000" w:rsidDel="00000000" w:rsidP="00000000" w:rsidRDefault="00000000" w:rsidRPr="00000000" w14:paraId="00000015">
      <w:pPr>
        <w:spacing w:after="120" w:before="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Aprovação: Alta Administração</w:t>
      </w:r>
    </w:p>
    <w:p w:rsidR="00000000" w:rsidDel="00000000" w:rsidP="00000000" w:rsidRDefault="00000000" w:rsidRPr="00000000" w14:paraId="00000016">
      <w:pPr>
        <w:spacing w:after="80" w:before="1960" w:lineRule="auto"/>
        <w:jc w:val="center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Uso interno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/>
          <w:pgMar w:bottom="1742" w:top="994" w:left="1282" w:right="706" w:header="397" w:footer="454"/>
          <w:pgNumType w:start="1"/>
        </w:sectPr>
      </w:pPr>
      <w:r w:rsidDel="00000000" w:rsidR="00000000" w:rsidRPr="00000000">
        <w:rPr>
          <w:b w:val="0"/>
          <w:bCs w:val="0"/>
          <w:sz w:val="24"/>
          <w:szCs w:val="24"/>
          <w:rtl w:val="0"/>
          <w:rFonts w:ascii="Times New Roman" w:hAnsi="Times New Roman" w:eastAsia="Times New Roman" w:cs="Times New Roman"/>
        </w:rPr>
        <w:t xml:space="preserve">2026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18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1. Objetivo e Escopo</w:t>
      </w:r>
    </w:p>
    <w:p w:rsidR="00000000" w:rsidDel="00000000" w:rsidP="00000000" w:rsidRDefault="00000000" w:rsidRPr="00000000" w14:paraId="00000019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Esta Política de Gestão de Riscos estabelece os critérios para identificar, analisar e avaliar os riscos de segurança da informação da AeroLog Transportes Aéreos. A avaliação busca apoiar decisões proporcionais à probabilidade de ocorrência e à gravidade das consequências para as operações da empresa.</w:t>
      </w:r>
    </w:p>
    <w:p w:rsidR="00000000" w:rsidDel="00000000" w:rsidP="00000000" w:rsidRDefault="00000000" w:rsidRPr="00000000" w14:paraId="0000001A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escopo abrange o sistema de reservas, a emissão de passagens por meio do GDS, os dados dos passageiros, os 50 servidores locais, os sistemas legados de controle de voo, os sistemas críticos embarcados nas aeronaves e os acessos utilizados no suporte internacional aos softwares de navegação. Também são considerados os processos de transporte de cargas e passageiros que dependem desses ativos.</w:t>
      </w:r>
    </w:p>
    <w:p w:rsidR="00000000" w:rsidDel="00000000" w:rsidP="00000000" w:rsidRDefault="00000000" w:rsidRPr="00000000" w14:paraId="0000001B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 análise contempla cinco cenários prioritários da AeroLog: ataques de negação de serviço contra o sistema de reservas, fraude na emissão de passagens, comprometimento relacionado ao suporte externo, falha de sistemas legados de controle de voo e comprometimento de sistemas críticos embarcados.</w:t>
      </w:r>
    </w:p>
    <w:p w:rsidR="00000000" w:rsidDel="00000000" w:rsidP="00000000" w:rsidRDefault="00000000" w:rsidRPr="00000000" w14:paraId="0000001C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Base da classificação.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As classificações são qualitativas e utilizam os registros e as evidências disponíveis. Frequência de incidentes, perdas financeiras, duração de indisponibilidades e controles existentes devem ser incorporados às revisões periódicas sempre que novos dados forem produzidos. Uma medida de segurança somente será considerada implantada quando houver evidência verificável de sua execução.</w:t>
      </w:r>
    </w:p>
    <w:p w:rsidR="00000000" w:rsidDel="00000000" w:rsidP="00000000" w:rsidRDefault="00000000" w:rsidRPr="00000000" w14:paraId="0000001D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2. Metodologia de Avaliação</w:t>
      </w:r>
    </w:p>
    <w:p w:rsidR="00000000" w:rsidDel="00000000" w:rsidP="00000000" w:rsidRDefault="00000000" w:rsidRPr="00000000" w14:paraId="0000001E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 avaliação utiliza uma abordagem qualitativa. Cada risco é descrito pelo evento indesejado e pelo ativo ou processo afetado, recebe uma classificação de probabilidade e impacto e, em seguida, é posicionado na matriz de risco. A justificativa registra as informações disponíveis sobre a operação da AeroLog e explicita as incertezas que influenciam a classificação.</w:t>
      </w:r>
    </w:p>
    <w:p w:rsidR="00000000" w:rsidDel="00000000" w:rsidP="00000000" w:rsidRDefault="00000000" w:rsidRPr="00000000" w14:paraId="0000001F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As escalas padronizam a avaliação dos riscos e permitem comparar cenários distintos. Os níveis atribuídos devem ser revistos quando houver novos registros de incidentes, mudanças nos ativos ou evidências sobre a eficácia dos controles.</w:t>
      </w:r>
    </w:p>
    <w:p w:rsidR="00000000" w:rsidDel="00000000" w:rsidP="00000000" w:rsidRDefault="00000000" w:rsidRPr="00000000" w14:paraId="00000020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Escala de probabilidade</w:t>
      </w:r>
    </w:p>
    <w:p w:rsidR="00000000" w:rsidDel="00000000" w:rsidP="00000000" w:rsidRDefault="00000000" w:rsidRPr="00000000" w14:paraId="00000021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 probabilidade expressa a possibilidade de ocorrência do risco nas condições operacionais e tecnológicas da AeroLog. A classificação considera ameaças registradas, exposições conhecidas e a quantidade de evidência disponível.</w:t>
      </w:r>
    </w:p>
    <w:tbl>
      <w:tblPr>
        <w:tblStyle w:val="Table1"/>
        <w:tblW w:w="9638.0" w:type="dxa"/>
        <w:jc w:val="left"/>
        <w:tblLayout w:type="fixed"/>
        <w:tblLook w:val="04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Nível de probabilidade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Critério de classificação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Baixa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O evento é plausível, mas não há registro disponível de ocorrência anterior nem exposição específica que indique repetição frequente. A falta de histórico, sozinha, não basta para classificar um risco como baixo.</w:t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Média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Existem condições, dependências ou características tecnológicas que podem permitir o evento, mas não há evidência suficiente para considerá-lo recorrente ou iminente.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Alta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A ameaça ou tentativa já foi registrada, ou a exposição identificada sustenta uma possibilidade relevante de nova ocorrência.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Escala de impacto</w:t>
      </w:r>
    </w:p>
    <w:p w:rsidR="00000000" w:rsidDel="00000000" w:rsidP="00000000" w:rsidRDefault="00000000" w:rsidRPr="00000000" w14:paraId="0000002B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impacto representa a gravidade das consequências caso o evento ocorra. Para cada risco, considera-se a consequência mais grave sustentada pelas informações disponíveis sobre operações, segurança operacional, dados pessoais e efeitos financeiros ou reputacionais.</w:t>
      </w:r>
    </w:p>
    <w:tbl>
      <w:tblPr>
        <w:tblStyle w:val="Table2"/>
        <w:tblW w:w="9638.0" w:type="dxa"/>
        <w:jc w:val="left"/>
        <w:tblLayout w:type="fixed"/>
        <w:tblLook w:val="04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Nível de impacto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Critério de classificação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Baixo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O evento produz efeito localizado, de curta duração e com recuperação simples, sem comprometer um processo essencial, dados relevantes ou a segurança operacional.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Médio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O evento prejudica um processo ou grupo de usuários de forma relevante, mas permanece restrito e pode ser recuperado sem interrupção grave das operações essenciais.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O evento pode causar interrupção expressiva, fraude relevante, exposição de dados, perda financeira significativa ou dano importante à confiança dos clientes.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O evento pode comprometer gravemente uma operação essencial, a segurança operacional, um sistema crítico ou a continuidade de serviços indispensáveis.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Matriz de classificação de riscos</w:t>
      </w:r>
    </w:p>
    <w:p w:rsidR="00000000" w:rsidDel="00000000" w:rsidP="00000000" w:rsidRDefault="00000000" w:rsidRPr="00000000" w14:paraId="00000037">
      <w:pPr>
        <w:pStyle w:val="BodyText"/>
        <w:keepNext w:val="1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 matriz classifica cada risco pelo cruzamento entre sua probabilidade estimada e seu impacto potencial. O resultado é um nível baixo, médio, alto ou crítico, utilizado para ordenar a análise e o tratamento. A posição na matriz deve sempre ser acompanhada da justificativa do risco, pois o cálculo não substitui a avaliação do contexto.</w:t>
      </w:r>
    </w:p>
    <w:tbl>
      <w:tblPr>
        <w:tblStyle w:val="Table3"/>
        <w:tblW w:w="9639.0" w:type="dxa"/>
        <w:jc w:val="left"/>
        <w:tblLayout w:type="fixed"/>
        <w:tblLook w:val="04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1701"/>
        <w:gridCol w:w="1701"/>
        <w:gridCol w:w="1701"/>
        <w:gridCol w:w="1701"/>
        <w:tblGridChange w:id="0">
          <w:tblGrid>
            <w:gridCol w:w="2835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Probabilidade / impacto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Critérios de priorização</w:t>
      </w:r>
    </w:p>
    <w:p w:rsidR="00000000" w:rsidDel="00000000" w:rsidP="00000000" w:rsidRDefault="00000000" w:rsidRPr="00000000" w14:paraId="0000004D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 prioridade aumenta conforme o nível indicado pela matriz. Quando dois riscos tiverem o mesmo nível, terá precedência aquele com maior impacto. Persistindo o empate, devem ser considerados a abrangência dos processos afetados e o potencial de atingir operações essenciais.</w:t>
      </w:r>
    </w:p>
    <w:p w:rsidR="00000000" w:rsidDel="00000000" w:rsidP="00000000" w:rsidRDefault="00000000" w:rsidRPr="00000000" w14:paraId="0000004E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Risco baixo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4F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Prioridade: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Requer acompanhamento para confirmar que a exposição permanece limitada e que mudanças no ambiente não aumentaram sua gravidade. </w:t>
      </w:r>
    </w:p>
    <w:p w:rsidR="00000000" w:rsidDel="00000000" w:rsidP="00000000" w:rsidRDefault="00000000" w:rsidRPr="00000000" w14:paraId="00000050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Mitigação inicial: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Manter controles básicos, registrar ocorrências e revisar periodicamente os fatores de probabilidade e impacto.</w:t>
      </w:r>
    </w:p>
    <w:p w:rsidR="00000000" w:rsidDel="00000000" w:rsidP="00000000" w:rsidRDefault="00000000" w:rsidRPr="00000000" w14:paraId="00000051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2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Risco médio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3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Prioridade: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Deve entrar no planejamento de tratamento porque pode causar prejuízo relevante ou aumentar de nível se a exposição mudar. </w:t>
      </w:r>
    </w:p>
    <w:p w:rsidR="00000000" w:rsidDel="00000000" w:rsidP="00000000" w:rsidRDefault="00000000" w:rsidRPr="00000000" w14:paraId="00000054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Mitigação inicial: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Reduzir as condições que permitem o evento, definir um responsável e acompanhar evidências de funcionamento dos controles adotados.</w:t>
      </w:r>
    </w:p>
    <w:p w:rsidR="00000000" w:rsidDel="00000000" w:rsidP="00000000" w:rsidRDefault="00000000" w:rsidRPr="00000000" w14:paraId="00000055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6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Risco alto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7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Prioridade: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Exige tratamento em curto prazo porque combina exposição relevante com consequências expressivas, ou apresenta impacto crítico mesmo com menor probabilidade. </w:t>
      </w:r>
    </w:p>
    <w:p w:rsidR="00000000" w:rsidDel="00000000" w:rsidP="00000000" w:rsidRDefault="00000000" w:rsidRPr="00000000" w14:paraId="00000058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Mitigação inicial: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Aplicar controles preventivos e detectivos adequados ao evento, restringir acessos quando aplicável e reforçar o monitoramento do ativo ou processo afetado.</w:t>
      </w:r>
    </w:p>
    <w:p w:rsidR="00000000" w:rsidDel="00000000" w:rsidP="00000000" w:rsidRDefault="00000000" w:rsidRPr="00000000" w14:paraId="00000059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A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Risco crítico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5B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Prioridade: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Exige decisão imediata porque pode interromper serviços essenciais, comprometer a segurança operacional ou produzir danos graves. </w:t>
      </w:r>
    </w:p>
    <w:p w:rsidR="00000000" w:rsidDel="00000000" w:rsidP="00000000" w:rsidRDefault="00000000" w:rsidRPr="00000000" w14:paraId="0000005C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Mitigação inicial: 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Reduzir a exposição sem demora, adotar barreiras adicionais, preparar resposta ao evento e acompanhar a execução das medidas pela Alta Administração.</w:t>
      </w:r>
    </w:p>
    <w:p w:rsidR="00000000" w:rsidDel="00000000" w:rsidP="00000000" w:rsidRDefault="00000000" w:rsidRPr="00000000" w14:paraId="0000005D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As classificações representam o risco inerente ao cenário descrito. Controles apenas propostos não reduzem o nível atual; uma avaliação residual somente poderá ser realizada depois que a medida correspondente estiver implantada e verificada.</w:t>
      </w:r>
    </w:p>
    <w:p w:rsidR="00000000" w:rsidDel="00000000" w:rsidP="00000000" w:rsidRDefault="00000000" w:rsidRPr="00000000" w14:paraId="0000005E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3. Identificação e Avaliação dos Riscos</w:t>
      </w:r>
    </w:p>
    <w:p w:rsidR="00000000" w:rsidDel="00000000" w:rsidP="00000000" w:rsidRDefault="00000000" w:rsidRPr="00000000" w14:paraId="0000005F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registro inicial contém os cinco riscos prioritários deste escopo. Cada item mantém um identificador único, descreve o evento analisado e indica o ativo ou processo diretamente afetado. As classificações seguem os critérios definidos na seção anterior.</w:t>
      </w:r>
    </w:p>
    <w:tbl>
      <w:tblPr>
        <w:tblStyle w:val="Table4"/>
        <w:tblW w:w="9638.0" w:type="dxa"/>
        <w:jc w:val="left"/>
        <w:tblLayout w:type="fixed"/>
        <w:tblLook w:val="04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52"/>
        <w:gridCol w:w="3005"/>
        <w:gridCol w:w="2381"/>
        <w:gridCol w:w="1134"/>
        <w:gridCol w:w="1247"/>
        <w:gridCol w:w="1219"/>
        <w:tblGridChange w:id="0">
          <w:tblGrid>
            <w:gridCol w:w="652"/>
            <w:gridCol w:w="3005"/>
            <w:gridCol w:w="2381"/>
            <w:gridCol w:w="1134"/>
            <w:gridCol w:w="1247"/>
            <w:gridCol w:w="1219"/>
          </w:tblGrid>
        </w:tblGridChange>
      </w:tblGrid>
      <w:tr>
        <w:trPr>
          <w:cantSplit w:val="1"/>
          <w:tblHeader w:val="1"/>
        </w:trPr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ID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Risco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Ativo / processo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Prob.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Impacto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Nível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  <w:b w:val="1"/>
                <w:bCs w:val="1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R01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DDoS contra o sistema de reservas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Reservas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R02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Fraude na emissão de passagens via GDS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Emissão de passagens / GDS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R03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Comprometimento de sistemas por suporte externo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Acesso de fornecedores / sistemas de navegação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R04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Falha de sistemas legados de controle de voo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Controle de voo / operações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Média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R05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Comprometimento de sistema crítico embarcado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Sistemas embarcados / operações de voo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Baixa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Crítico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Alto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Justificativas das avaliações</w:t>
      </w:r>
    </w:p>
    <w:tbl>
      <w:tblPr>
        <w:tblStyle w:val="Table5"/>
        <w:tblW w:w="9638.0" w:type="dxa"/>
        <w:jc w:val="left"/>
        <w:tblLayout w:type="fixed"/>
        <w:tblLook w:val="04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4649"/>
        <w:gridCol w:w="4309"/>
        <w:tblGridChange w:id="0">
          <w:tblGrid>
            <w:gridCol w:w="680"/>
            <w:gridCol w:w="4649"/>
            <w:gridCol w:w="4309"/>
          </w:tblGrid>
        </w:tblGridChange>
      </w:tblGrid>
      <w:tr>
        <w:trPr>
          <w:cantSplit w:val="1"/>
          <w:tblHeader w:val="1"/>
        </w:trPr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ID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Base da avaliação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  <w:tc>
          <w:tcPr>
            <w:shd w:fill="E7ECF1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Justificativa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R01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O sistema de reservas é alvo de ataques de negação de serviço, com maior exposição durante períodos de alta demanda.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Probabilidade alta porque a ameaça já foi observada. Impacto alto porque a indisponibilidade pode impedir consultas, reservas e emissões, afetando passageiros, atendimento e receita. A combinação resulta em risco crítico.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R02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Foram registradas tentativas de fraude na emissão de passagens por meio do GDS.</w:t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Probabilidade alta devido à existência de tentativas relatadas. Impacto alto pelos possíveis prejuízos financeiros, contestações, uso indevido do processo de emissão e dano à confiança dos clientes. O nível resultante é crítico.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R03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 AeroLog mantém contratos internacionais de suporte para softwares de navegação, o que cria uma relação de acesso e dependência externa.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Probabilidade média porque o vetor é plausível, mas não há registro disponível de incidente nem de falha específica de controle. O impacto é alto porque um acesso externo comprometido pode afetar sistemas relevantes para a operação. O nível resultante é alto.</w:t>
            </w:r>
          </w:p>
        </w:tc>
      </w:tr>
      <w:tr>
        <w:trPr>
          <w:cantSplit w:val="1"/>
          <w:tblHeader w:val="0"/>
        </w:trPr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R04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Os sistemas legados de controle de voo integram o escopo da avaliação por sua relevância para a operação aérea.</w:t>
            </w:r>
          </w:p>
        </w:tc>
        <w:tc>
          <w:tcPr>
            <w:shd w:fill="F7F8F9" w:val="clear" w:color="auto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Probabilidade média porque a condição legada indica exposição plausível, embora não exista histórico de falhas. O impacto é crítico pelo potencial de comprometer o suporte às operações de voo e a segurança operacional. O nível é crítico.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R05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  <w:t xml:space="preserve">A AeroLog opera sistemas críticos embarcados cuja integridade e disponibilidade são essenciais às operações de voo.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TableParagraph"/>
              <w:keepLines/>
              <w:spacing w:after="0" w:before="0" w:line="240" w:lineRule="auto"/>
              <w:ind w:left="88" w:right="88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Probabilidade baixa porque não há incidente relatado nem detalhe que comprove exposição frequente. O impacto é crítico porque a perda de integridade ou disponibilidade de um sistema embarcado pode afetar operações de voo e segurança operacional. O nível resultante é alto.</w:t>
            </w:r>
            <w:r w:rsidDel="00000000" w:rsidR="00000000" w:rsidRPr="00000000">
              <w:rPr>
                <w:rtl w:val="0"/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/>
        <w:keepLines/>
        <w:spacing w:before="160" w:after="0" w:line="240" w:lineRule="auto"/>
        <w:ind w:left="1004" w:right="0" w:firstLine="0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Distinção entre riscos relacionados</w:t>
      </w:r>
    </w:p>
    <w:p w:rsidR="00000000" w:rsidDel="00000000" w:rsidP="00000000" w:rsidRDefault="00000000" w:rsidRPr="00000000" w14:paraId="00000098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Os riscos podem compartilhar ativos, causas ou consequências, mas cada identificador representa um evento principal diferente. A separação abaixo evita duplicidade e preserva o alcance usado na avaliação.</w:t>
      </w:r>
    </w:p>
    <w:p w:rsidR="00000000" w:rsidDel="00000000" w:rsidP="00000000" w:rsidRDefault="00000000" w:rsidRPr="00000000" w14:paraId="00000099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R01 Ataque DDoS ao sistema de reservas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9A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R01 trata da indisponibilidade causada por grande volume de requisições maliciosas contra o sistema de reservas. Ele se diferencia do R02 porque o objetivo do evento é impedir ou degradar o acesso ao serviço, enquanto a fraude pode ocorrer mesmo quando o sistema continua disponível.</w:t>
      </w:r>
    </w:p>
    <w:p w:rsidR="00000000" w:rsidDel="00000000" w:rsidP="00000000" w:rsidRDefault="00000000" w:rsidRPr="00000000" w14:paraId="0000009B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R02 Fraude na emissão de passagens via GDS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9C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R02 trata da emissão indevida ou da manipulação fraudulenta de passagens por meio do GDS. Seu foco é a integridade e a legitimidade da transação. Diferentemente do R01, não depende de indisponibilidade; diferencia-se também dos riscos operacionais de voo porque afeta diretamente o processo comercial de emissão.</w:t>
      </w:r>
    </w:p>
    <w:p w:rsidR="00000000" w:rsidDel="00000000" w:rsidP="00000000" w:rsidRDefault="00000000" w:rsidRPr="00000000" w14:paraId="0000009D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R03 Comprometimento por suporte externo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9E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R03 descreve a origem do comprometimento no acesso ou na atividade de um fornecedor de suporte. Ele se distingue dos demais por representar um vetor relacionado a terceiros. Pode anteceder o R05 se esse acesso atingir um sistema embarcado, mas sua classificação permanece centrada no caminho de entrada e na dependência externa.</w:t>
      </w:r>
    </w:p>
    <w:p w:rsidR="00000000" w:rsidDel="00000000" w:rsidP="00000000" w:rsidRDefault="00000000" w:rsidRPr="00000000" w14:paraId="0000009F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R04 Falha de sistemas legados de controle de voo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A0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R04 trata de falha técnica associada a sistemas legados de controle de voo, como limitações de manutenção, compatibilidade ou confiabilidade. Diferencia-se do R03 e do R05 porque não exige acesso externo nem comprometimento intencional. Também não foi presumida dependência entre esse sistema e o sistema de reservas.</w:t>
      </w:r>
    </w:p>
    <w:p w:rsidR="00000000" w:rsidDel="00000000" w:rsidP="00000000" w:rsidRDefault="00000000" w:rsidRPr="00000000" w14:paraId="000000A1">
      <w:pPr>
        <w:pStyle w:val="BodyText"/>
        <w:keepNext w:val="1"/>
        <w:widowControl/>
        <w:spacing w:after="0" w:before="100" w:lineRule="auto" w:line="360"/>
        <w:ind w:left="428" w:right="428" w:firstLine="1132"/>
        <w:jc w:val="both"/>
        <w:rPr/>
      </w:pPr>
      <w:r w:rsidDel="00000000" w:rsidR="00000000" w:rsidRPr="00000000">
        <w:rPr>
          <w:b w:val="1"/>
          <w:bCs w:val="1"/>
          <w:rtl w:val="0"/>
          <w:rFonts w:ascii="Times New Roman" w:hAnsi="Times New Roman" w:eastAsia="Times New Roman" w:cs="Times New Roman"/>
          <w:sz w:val="24"/>
          <w:szCs w:val="24"/>
        </w:rPr>
        <w:t xml:space="preserve">R05 Comprometimento de sistema crítico embarcado</w:t>
      </w: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A2">
      <w:pPr>
        <w:pStyle w:val="BodyText"/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t xml:space="preserve">O R05 descreve o ativo atingido e a perda de integridade ou disponibilidade de um sistema crítico embarcado. Ele se diferencia do R03, que identifica o suporte externo como vetor, e do R04, que trata de falha em sistema legado. Se um único incidente envolver R03 e R05, a causa e a consequência devem ser relacionadas sem contabilizar o mesmo dano duas vezes.</w:t>
      </w:r>
    </w:p>
    <w:p w:rsidR="00000000" w:rsidDel="00000000" w:rsidP="00000000" w:rsidRDefault="00000000" w:rsidRPr="00000000" w14:paraId="000000A3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4. Tratamento dos Riscos</w:t>
      </w:r>
    </w:p>
    <w:p w:rsidR="00000000" w:rsidDel="00000000" w:rsidP="00000000" w:rsidRDefault="00000000" w:rsidRPr="00000000" w14:paraId="000000A4">
      <w:pPr>
        <w:pStyle w:val="BodyText"/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color w:val="404040"/>
        </w:rPr>
      </w:pPr>
      <w:r w:rsidDel="00000000" w:rsidR="00000000" w:rsidRPr="00000000">
        <w:rPr>
          <w:color w:val="404040"/>
          <w:rtl w:val="0"/>
          <w:rFonts w:ascii="Times New Roman" w:hAnsi="Times New Roman" w:eastAsia="Times New Roman" w:cs="Times New Roman"/>
          <w:sz w:val="24"/>
          <w:szCs w:val="24"/>
        </w:rPr>
        <w:t xml:space="preserve">Os tratamentos abaixo estão vinculados aos riscos identificados na seção 3 e às diretrizes da Política de Segurança da Informação (PSI), considerando também as estratégias, os gatilhos de ativação e os critérios de recuperação descritos no Plano de Continuidade de Negócios (PCN). As medidas constituem propostas para a AeroLog e não devem ser consideradas controles já implantados. A execução depende de validação técnica, disponibilidade de recursos e alinhamento entre PSI, PGR e PCN.</w:t>
      </w:r>
    </w:p>
    <w:p w:rsidR="00000000" w:rsidDel="00000000" w:rsidP="00000000" w:rsidRDefault="00000000" w:rsidRPr="00000000" w14:paraId="000000A5">
      <w:pPr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color w:val="404040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Table6"/>
        <w:tblW w:w="8895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6360"/>
        <w:gridCol w:w="1875"/>
        <w:tblGridChange w:id="0">
          <w:tblGrid>
            <w:gridCol w:w="660"/>
            <w:gridCol w:w="6360"/>
            <w:gridCol w:w="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Ponto de partida para o tratamento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PSI relacionada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Avaliar proteção contra DDoS, acompanhamento da disponibilidade e estratégia de continuidade.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4.2, 4.6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Avaliar controles de acesso, verificação de operações suspeitas e registros de emissão.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4.1, 4.2 e 4.8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Propor autorização de suporte, acesso limitado, autenticação adequada, registros e requisitos contratuais.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4.1, 4.3, 4.4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Avaliar atualização ou substituição planejada e recuperação compatível com a operação.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4.3, 4.5 e 4.6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Propor controle de alterações, restrição de acesso, avaliação de integridade e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4.3, 4.5 e 4.7</w:t>
            </w:r>
          </w:p>
        </w:tc>
      </w:tr>
    </w:tbl>
    <w:p w:rsidR="00000000" w:rsidDel="00000000" w:rsidP="00000000" w:rsidRDefault="00000000" w:rsidRPr="00000000" w14:paraId="000000C1">
      <w:pPr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0C2">
      <w:pPr>
        <w:pStyle w:val="BodyText"/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  <w:rFonts w:ascii="Times New Roman" w:hAnsi="Times New Roman" w:eastAsia="Times New Roman" w:cs="Times New Roman"/>
        </w:rPr>
        <w:t xml:space="preserve">Plano de tratamento dos riscos</w:t>
      </w:r>
    </w:p>
    <w:tbl>
      <w:tblPr>
        <w:tblStyle w:val="Table7"/>
        <w:tblW w:w="8910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2160"/>
        <w:gridCol w:w="1935"/>
        <w:gridCol w:w="1830"/>
        <w:gridCol w:w="2355"/>
        <w:tblGridChange w:id="0">
          <w:tblGrid>
            <w:gridCol w:w="630"/>
            <w:gridCol w:w="2160"/>
            <w:gridCol w:w="1935"/>
            <w:gridCol w:w="183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Estratégia e prioridade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Responsável 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Prazo / critério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Evidência de conclusão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Mitigar — crítica; ação imediata. Propor proteção anti-DDoS, monitoramento de disponibilidade e plano de resposta; alinhar continuidade e backup offline ao PCN.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Equipe de TI; gestor do sistema de reservas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Imediato para definir resposta; implantação priorizada e validada por teste.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Configuração aprovada; registros de monitoramento; teste de resposta/continuidade documentado.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Mitigar — crítica; ação imediata. Restringir permissões de emissão, revisar acessos, monitorar operações suspeitas e proteger registros do GDS. Incluir capacitação periódica das equipes que operam o GDS para prevenção e comunicação de fraudes.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Equipe de TI e responsável pelo processo de emissão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Imediato para revisar acessos; controles implantados em curto prazo.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Revisão de permissões registrada; alertas e trilhas de auditoria verificáveis; teste de análise de operação suspeita.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Mitigar e compartilhar contratualmente — alta. Exigir autorização individual, MFA, menor privilégio, acesso remoto limitado, registros e comunicação de incidentes por fornecedores.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Equipe de TI e responsável pelo contrato e pelo sistema de navegação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Antes de novo acesso ou renovação contratual; revisar acessos trimestralmente.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Autorizações e revisão de acessos registradas; logs de sessões; cláusulas contratuais e teste de revogação.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Mitigar — crítica; ação imediata. Avaliar tecnicamente os sistemas legados, priorizar correções seguras, planejar atualização/substituição e validar recuperação sem comprometer a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Equipe de TI e 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Avaliação prioritária imediata; plano de correção com etapas e validação técnica.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Inventário/avaliação documentados; plano aprovado; registros de mudança e teste de recuperação.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Mitigar — alta. Restringir acesso e alterações, verificar integridade, avaliar atualizações com as equipes competentes e preparar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Equipe de TI e equipes técnicas de operações aéreas; fornecedor autorizado quando aplicável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Priorizar avaliação técnica e definir cronograma conforme criticidade e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Autorizações e registros de alterações; evidência de verificação de integridade; teste ou relatório técnico aprovado.</w:t>
            </w:r>
          </w:p>
        </w:tc>
      </w:tr>
    </w:tbl>
    <w:p w:rsidR="00000000" w:rsidDel="00000000" w:rsidP="00000000" w:rsidRDefault="00000000" w:rsidRPr="00000000" w14:paraId="000000F0">
      <w:pPr>
        <w:widowControl/>
        <w:spacing w:before="100" w:after="0" w:line="360" w:lineRule="auto"/>
        <w:ind w:left="428" w:right="428" w:firstLine="1132"/>
        <w:jc w:val="both"/>
        <w:rPr>
          <w:sz w:val="19"/>
          <w:szCs w:val="19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Table8"/>
        <w:tblW w:w="8895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7770"/>
        <w:tblGridChange w:id="0">
          <w:tblGrid>
            <w:gridCol w:w="1125"/>
            <w:gridCol w:w="77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Risco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Ligação inicial com o PCN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C01 para indisponibilidade relevante das reservas; C04 se houver impacto cibernético amplo/prolongado. Backup offline não substitui a mitigação DDoS.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Apuração e conciliação das transações; acionar contingência somente se a fraude provocar interrupção relevante. Não implica indisponibilidade automaticamente.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C03 para comprometimento por suporte externo; C04 se o impacto for amplo. Se atingir sistema embarcado, coordenar também C02/R05.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Seção 4 do PCN: continuidade operacional durante falha de sistemas legados de controle de voo. C01 somente se dependência de reservas for confirmada e justificada.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C02 para sistema crítico/embarcado; C04 quando o evento tiver impacto amplo. Conter com segurança e só retomar após validação técnica e liberação competente.</w:t>
            </w:r>
          </w:p>
        </w:tc>
      </w:tr>
    </w:tbl>
    <w:p w:rsidR="00000000" w:rsidDel="00000000" w:rsidP="00000000" w:rsidRDefault="00000000" w:rsidRPr="00000000" w14:paraId="00000103">
      <w:pPr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00" w:lineRule="auto" w:line="360"/>
        <w:ind w:left="428" w:right="428" w:firstLine="11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04">
      <w:pPr>
        <w:pStyle w:val="BodyText"/>
        <w:pageBreakBefore/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00" w:lineRule="auto" w:line="360"/>
        <w:ind w:left="428" w:right="428" w:firstLine="11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  <w:rFonts w:ascii="Times New Roman" w:hAnsi="Times New Roman" w:eastAsia="Times New Roman" w:cs="Times New Roman"/>
        </w:rPr>
        <w:t xml:space="preserve">Orientações complementares de integração com o PCN</w:t>
      </w:r>
    </w:p>
    <w:tbl>
      <w:tblPr>
        <w:tblStyle w:val="Table9"/>
        <w:tblW w:w="8895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145"/>
        <w:gridCol w:w="6750"/>
        <w:tblGridChange w:id="0">
          <w:tblGrid>
            <w:gridCol w:w="2145"/>
            <w:gridCol w:w="67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7ECF1" w:val="clear" w:color="auto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Tema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7ECF1" w:val="clear" w:color="auto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>Diretriz de integração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R01 — Ataque DDoS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Combinar a mitigação do ataque com a recuperação dos dados. O backup, isoladamente, não restabelece a disponibilidade enquanto o ataque estiver 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0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R03 e R05 — Incidentes técnicos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0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Conter o incidente preservando evidências e respeitando as autorizações técnicas e operacionais. A retomada deve ocorrer somente após validação técnica e liberação competente.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R04 — Falha de sistemas legados de controle de voo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 continuidade operacional depende de informações atuais, íntegras e verificadas. Não presume dependência automática entre o sistema de controle de voo e o sistema de reservas.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Estratégia de backup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0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O PCN propõe cópias incrementais diárias, cópias completas semanais, ao menos uma cópia offline e testes de restauração.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Objetivos de recuperação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 PCN adota prioridades qualitativas. Caso sejam definidos RTO e RPO, os valores deverão ser aprovados em conjunto com as estratégias de continuidade e backup.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1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Validação dos controles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1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 w:line="240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As medidas descritas são propostas a serem validadas. Não devem ser tratadas como implantadas ou eficazes até que existam evidências verificáveis.</w:t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5. Responsabilidades</w:t>
      </w:r>
    </w:p>
    <w:p w:rsidR="00000000" w:rsidDel="00000000" w:rsidP="00000000" w:rsidRDefault="00000000" w:rsidRPr="00000000" w14:paraId="00000118">
      <w:pPr>
        <w:pStyle w:val="BodyText"/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color w:val="404040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  <w:br w:type="textWrapping"/>
      </w:r>
      <w:r w:rsidDel="00000000" w:rsidR="00000000" w:rsidRPr="00000000">
        <w:rPr>
          <w:color w:val="404040"/>
          <w:rtl w:val="0"/>
          <w:rFonts w:ascii="Times New Roman" w:hAnsi="Times New Roman" w:eastAsia="Times New Roman" w:cs="Times New Roman"/>
          <w:sz w:val="24"/>
          <w:szCs w:val="24"/>
        </w:rPr>
        <w:t xml:space="preserve">A gestão dos riscos é compartilhada entre a Alta Administração, a equipe de TI, os responsáveis pelas áreas ou sistemas, as equipes técnicas de operações aéreas e os fornecedores. Cada risco deverá ter um responsável funcional pelo acompanhamento, enquanto a aprovação de prioridades e a aceitação formal caberão à autoridade competente, conforme os limites organizacionais definidos pela AeroLog.</w:t>
      </w:r>
    </w:p>
    <w:tbl>
      <w:tblPr>
        <w:tblStyle w:val="Table10"/>
        <w:tblW w:w="8895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Função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Responsabilidade na gestão de riscos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Alta Administração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Aprovar prioridades, recursos e planos de tratamento; decidir sobre aceitação formal de riscos dentro de sua competência; acompanhar riscos críticos e pendências relevantes.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Equipe de TI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Manter o registro técnico dos riscos em conjunto com os gestores; propor e executar controles autorizados; monitorar alertas e registros; reunir evidências; comunicar incidentes e mudanças que possam alterar a avaliação.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Responsáveis pelas áreas ou sistemas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Atuar como donos funcionais dos riscos relacionados aos seus processos; validar impactos operacionais; aprovar necessidades de acesso; acompanhar prazos e eficácia das medidas; informar mudanças e incidentes.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Responsáveis pelos contratos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Garantir que requisitos de segurança sejam incluídos nos contratos aplicáveis; acompanhar fornecedores; comunicar mudanças de escopo, profissionais, acessos ou encerramento contratual à TI.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Avaliar, dentro de suas competências, intervenções em sistemas legados, críticos e embarcados; validar riscos à segurança operacional; participar de testes e aprovar condições técnicas de retorno à operação.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2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Colaboradores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  <w:shd w:val="clear" w:color="auto" w:fill="F7F8F9"/>
          </w:tcPr>
          <w:p w:rsidR="00000000" w:rsidDel="00000000" w:rsidP="00000000" w:rsidRDefault="00000000" w:rsidRPr="00000000" w14:paraId="0000012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Cumprir a PSI, proteger credenciais e informações, utilizar sistemas apenas para fins autorizados e comunicar imediatamente suspeitas ou ocorrências pelos canais definidos.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Fornecedores e prestadores de serviço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  <w:rFonts w:ascii="Times New Roman" w:hAnsi="Times New Roman" w:eastAsia="Times New Roman" w:cs="Times New Roman"/>
              </w:rPr>
              <w:t xml:space="preserve">Cumprir os requisitos contratuais e a PSI aplicável; utilizar somente acessos autorizados; manter credenciais protegidas; registrar e comunicar suspeitas de comprometimento e colaborar na investigação.</w:t>
            </w:r>
          </w:p>
        </w:tc>
      </w:tr>
    </w:tbl>
    <w:p w:rsidR="00000000" w:rsidDel="00000000" w:rsidP="00000000" w:rsidRDefault="00000000" w:rsidRPr="00000000" w14:paraId="00000129">
      <w:pPr>
        <w:widowControl/>
        <w:spacing w:before="100" w:after="0" w:line="360" w:lineRule="auto"/>
        <w:ind w:left="428" w:right="428" w:firstLine="113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2A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2B">
      <w:pPr>
        <w:pStyle w:val="Heading1"/>
        <w:keepNext/>
        <w:keepLines/>
        <w:pageBreakBefore w:val="1"/>
        <w:spacing w:before="200" w:after="0" w:line="240" w:lineRule="auto"/>
        <w:ind w:left="858" w:right="0" w:hanging="431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 xml:space="preserve">6. Monitoramento e Revisão</w:t>
      </w:r>
    </w:p>
    <w:p w:rsidR="00000000" w:rsidDel="00000000" w:rsidP="00000000" w:rsidRDefault="00000000" w:rsidRPr="00000000" w14:paraId="0000012C">
      <w:pPr>
        <w:pStyle w:val="BodyText"/>
        <w:widowControl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00" w:after="0" w:line="360" w:lineRule="auto"/>
        <w:ind w:left="428" w:right="428" w:firstLine="1132"/>
        <w:jc w:val="both"/>
        <w:rPr>
          <w:color w:val="404040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Os riscos e seus tratamentos serão monitorados continuamente e formalmente revisados, no mínimo, a cada trimestre. A revisão também deverá ocorrer após incidentes relevantes, mudanças em sistemas ou fornecedores, alterações contratuais, mudanças regulatórias e resultados de testes ou exercícios de continuidade que indiquem falhas. A revisão trimestral da PGR deve ser coordenada com os testes e revisões do PCN, cujo calendário inclui simulação de mesa semestral, teste de comunicação trimestral e revisão após eventos ou mudanças relevantes, além de revisão anual.</w:t>
      </w:r>
    </w:p>
    <w:tbl>
      <w:tblPr>
        <w:tblStyle w:val="Table11"/>
        <w:tblW w:w="8895.0" w:type="dxa"/>
        <w:jc w:val="left"/>
        <w:tblLayout w:type="fixed"/>
        <w:tblLook w:val="06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610"/>
        <w:gridCol w:w="3750"/>
        <w:gridCol w:w="1890"/>
        <w:tblGridChange w:id="0">
          <w:tblGrid>
            <w:gridCol w:w="645"/>
            <w:gridCol w:w="2610"/>
            <w:gridCol w:w="375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Situação da medida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Evidência / pendência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CF1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Próxima revisão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Solicitar evidências de proteção anti-DDoS, monitoramento e teste de continuidade; confirmar estratégia C01/C04 conforme o PCN. Backup isolado não mitiga ataque ativo.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Trimestral e após ataque ou indisponibilidade relevante.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Reunir revisão de permissões, registros de emissão e evidências de análise de operações suspeitas.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Trimestral e após tentativa ou confirmação de fraude.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Verificar autorizações, MFA, logs de acesso remoto, cláusulas contratuais, revogação de acessos e integração com C03/C04; coordenar C02 se atingir sistema embarcado.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Trimestral</w:t>
            </w: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 e após mudança ou incidente de fornecedor.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Solicitar avaliação dos sistemas legados, plano de atualização/substituição e evidências de continuidade operacional conforme seção 4 do PCN; confirmar dependências sem presumi-las.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9" w:val="clear" w:color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Trimestral e após falha, mudança técnica ou teste com resultado insatisfatório.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Reunir registros de autorização de alterações, verificação de integridade e avaliação técnica; conferir gatilhos de C02/C04 e evidências de liberação para retorno.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TableParagraph"/>
              <w:keepLines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after="0" w:line="240" w:lineRule="auto"/>
              <w:ind w:left="88" w:right="88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  <w:rFonts w:ascii="Times New Roman" w:hAnsi="Times New Roman" w:eastAsia="Times New Roman" w:cs="Times New Roman"/>
              </w:rPr>
              <w:t xml:space="preserve">Trimestral e após alteração, anomalia ou incidente.</w:t>
            </w:r>
          </w:p>
        </w:tc>
      </w:tr>
    </w:tbl>
    <w:p w:rsidR="00000000" w:rsidDel="00000000" w:rsidP="00000000" w:rsidRDefault="00000000" w:rsidRPr="00000000" w14:paraId="00000151">
      <w:pPr>
        <w:widowControl/>
        <w:spacing w:before="100" w:after="0" w:line="360" w:lineRule="auto"/>
        <w:ind w:left="428" w:right="428" w:firstLine="113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52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53">
      <w:pPr>
        <w:widowControl/>
        <w:spacing w:before="100" w:after="0" w:line="360" w:lineRule="auto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54">
      <w:pPr>
        <w:widowControl/>
        <w:spacing w:after="0" w:lineRule="auto" w:before="100" w:line="360"/>
        <w:ind w:left="428" w:right="428" w:firstLine="1132"/>
        <w:jc w:val="both"/>
        <w:rPr/>
      </w:pPr>
      <w:r w:rsidDel="00000000" w:rsidR="00000000" w:rsidRPr="00000000">
        <w:rPr>
          <w:rtl w:val="0"/>
          <w:rFonts w:ascii="Times New Roman" w:hAnsi="Times New Roman" w:eastAsia="Times New Roman" w:cs="Times New Roman"/>
          <w:sz w:val="24"/>
          <w:szCs w:val="24"/>
        </w:rPr>
      </w:r>
    </w:p>
    <w:p w:rsidR="00000000" w:rsidDel="00000000" w:rsidP="00000000" w:rsidRDefault="00000000" w:rsidRPr="00000000" w14:paraId="00000155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428" w:right="428" w:firstLine="11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Perguntas para revisão: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 medida foi executada? Há evidência de que funciona? O risco mudou? Houve incidente ou teste que revelou uma falha? A PSI e o PCN precisam ser atualizados?</w:t>
      </w:r>
    </w:p>
    <w:p w:rsidR="00000000" w:rsidDel="00000000" w:rsidP="00000000" w:rsidRDefault="00000000" w:rsidRPr="00000000" w14:paraId="00000156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428" w:right="428" w:firstLine="11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Os registros de monitoramento devem identificar o risco, a medida avaliada, a evidência encontrada, a decisão tomada, a função responsável e a data da revisão.</w:t>
      </w:r>
    </w:p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Referências</w:t>
      </w:r>
    </w:p>
    <w:p w:rsidR="00000000" w:rsidDel="00000000" w:rsidP="00000000" w:rsidRDefault="00000000" w:rsidRPr="00000000" w14:paraId="00000157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Fontes externas: As referências abaixo apoiam os critérios de avaliação, tratamento, responsabilidades e monitoramento adotados nesta política.</w:t>
      </w:r>
    </w:p>
    <w:p w:rsidR="00000000" w:rsidDel="00000000" w:rsidP="00000000" w:rsidRDefault="00000000" w:rsidRPr="00000000" w14:paraId="00000158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234e7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Kit 2 — Gestão de Riscos de Segurança da Informação</w:t>
        </w:r>
      </w:hyperlink>
      <w:r w:rsidDel="00000000" w:rsidR="00000000" w:rsidRPr="00000000">
        <w:rPr>
          <w:rFonts w:ascii="Times New Roman" w:hAnsi="Times New Roman" w:eastAsia="Times New Roman" w:cs="Times New Roman"/>
          <w:sz w:val="24"/>
          <w:rtl w:val="0"/>
          <w:szCs w:val="24"/>
        </w:rPr>
      </w:r>
    </w:p>
    <w:p w:rsidR="00000000" w:rsidDel="00000000" w:rsidP="00000000" w:rsidRDefault="00000000" w:rsidRPr="00000000" w14:paraId="00000159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SEST / Ministério do Planejamento / UnB, 2018. Referência para registro e tratamento de riscos.</w:t>
      </w:r>
    </w:p>
    <w:p w:rsidR="00000000" w:rsidDel="00000000" w:rsidP="00000000" w:rsidRDefault="00000000" w:rsidRPr="00000000" w14:paraId="0000015A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234e7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Aena — Política de control y gestión de riesgos</w:t>
        </w:r>
      </w:hyperlink>
      <w:r w:rsidDel="00000000" w:rsidR="00000000" w:rsidRPr="00000000">
        <w:rPr>
          <w:rFonts w:ascii="Times New Roman" w:hAnsi="Times New Roman" w:eastAsia="Times New Roman" w:cs="Times New Roman"/>
          <w:sz w:val="24"/>
          <w:rtl w:val="0"/>
          <w:szCs w:val="24"/>
        </w:rPr>
      </w:r>
    </w:p>
    <w:p w:rsidR="00000000" w:rsidDel="00000000" w:rsidP="00000000" w:rsidRDefault="00000000" w:rsidRPr="00000000" w14:paraId="0000015B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Aprovada em 26/05/2026. Referência para avaliação, tratamento e acompanhamento de riscos.</w:t>
      </w:r>
    </w:p>
    <w:p w:rsidR="00000000" w:rsidDel="00000000" w:rsidP="00000000" w:rsidRDefault="00000000" w:rsidRPr="00000000" w14:paraId="0000015C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234e7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GOL — Política de Segurança da Informação para Terceiros</w:t>
        </w:r>
      </w:hyperlink>
      <w:r w:rsidDel="00000000" w:rsidR="00000000" w:rsidRPr="00000000">
        <w:rPr>
          <w:rFonts w:ascii="Times New Roman" w:hAnsi="Times New Roman" w:eastAsia="Times New Roman" w:cs="Times New Roman"/>
          <w:sz w:val="24"/>
          <w:rtl w:val="0"/>
          <w:szCs w:val="24"/>
        </w:rPr>
      </w:r>
    </w:p>
    <w:p w:rsidR="00000000" w:rsidDel="00000000" w:rsidP="00000000" w:rsidRDefault="00000000" w:rsidRPr="00000000" w14:paraId="0000015D">
      <w:pPr>
        <w:pStyle w:val="BodyText"/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52" w:lineRule="auto"/>
        <w:ind w:left="428" w:right="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Revisão 01, 12/06/2025. Referência para fornecedores, acessos, registros, backup e continuidade.</w:t>
      </w:r>
    </w:p>
    <w:sectPr>
      <w:headerReference r:id="rId16" w:type="default"/>
      <w:footerReference r:id="rId17" w:type="default"/>
      <w:type w:val="nextPage"/>
      <w:pgSz w:h="16838" w:w="11906"/>
      <w:pgMar w:bottom="763" w:top="1656" w:left="1282" w:right="706" w:header="397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jc w:val="right"/>
      <w:rPr/>
    </w:pPr>
    <w:r w:rsidDel="00000000" w:rsidR="00000000" w:rsidRPr="00000000">
      <w:rPr>
        <w:sz w:val="18"/>
        <w:szCs w:val="18"/>
        <w:rtl w:val="0"/>
        <w:rFonts w:ascii="Times New Roman" w:hAnsi="Times New Roman" w:eastAsia="Times New Roman" w:cs="Times New Roman"/>
      </w:rPr>
      <w:t xml:space="preserve">AeroLog | PGR | Uso interno | </w:t>
    </w:r>
    <w:r w:rsidDel="00000000" w:rsidR="00000000" w:rsidRPr="00000000">
      <w:rPr>
        <w:rFonts w:ascii="Times New Roman" w:hAnsi="Times New Roman" w:eastAsia="Times New Roman" w:cs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  <w:rFonts w:ascii="Times New Roman" w:hAnsi="Times New Roman" w:eastAsia="Times New Roman" w:cs="Times New Roman"/>
        <w:sz w:val="18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widowControl w:val="1"/>
      <w:spacing w:after="0" w:before="200" w:line="240" w:lineRule="auto"/>
      <w:ind w:left="858" w:right="0" w:hanging="431"/>
      <w:jc w:val="both"/>
    </w:pPr>
    <w:rPr>
      <w:rFonts w:ascii="Times New Roman" w:cs="Times New Roman" w:eastAsia="Times New Roman" w:hAnsi="Times New Roman"/>
      <w:b/>
      <w:bCs w:val="1"/>
      <w:i w:val="0"/>
      <w:iCs w:val="0"/>
      <w:color w:val="000000"/>
      <w:sz w:val="24"/>
      <w:szCs w:val="30"/>
    </w:rPr>
  </w:style>
  <w:style w:type="paragraph" w:styleId="Heading2">
    <w:name w:val="heading 2"/>
    <w:basedOn w:val="Normal"/>
    <w:next w:val="Normal"/>
    <w:pPr>
      <w:keepNext/>
      <w:keepLines/>
      <w:widowControl w:val="1"/>
      <w:spacing w:after="0" w:before="160" w:line="240" w:lineRule="auto"/>
      <w:ind w:left="1004" w:right="0" w:firstLine="0"/>
      <w:jc w:val="both"/>
    </w:pPr>
    <w:rPr>
      <w:rFonts w:ascii="Times New Roman" w:cs="Times New Roman" w:eastAsia="Times New Roman" w:hAnsi="Times New Roman"/>
      <w:b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0" w:before="140" w:lineRule="auto"/>
      <w:ind w:left="1148" w:firstLine="0"/>
      <w:jc w:val="both"/>
    </w:pPr>
    <w:rPr>
      <w:rFonts w:ascii="Times New Roman" w:hAnsi="Times New Roman" w:eastAsia="Times New Roman" w:cs="Times New Roman"/>
      <w:b/>
      <w:bCs w:val="1"/>
      <w:i/>
      <w:sz w:val="24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after="0" w:before="160" w:lineRule="auto" w:line="240"/>
      <w:ind w:left="1004" w:right="0" w:firstLine="0"/>
      <w:jc w:val="both"/>
    </w:pPr>
    <w:rPr>
      <w:rFonts w:ascii="Times New Roman" w:hAnsi="Times New Roman" w:eastAsia="Times New Roman" w:cs="Times New Roman"/>
      <w:b/>
      <w:bCs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spacing w:after="0" w:before="0" w:line="252.00000000000003" w:lineRule="auto"/>
      <w:ind w:left="0" w:right="572" w:firstLine="0"/>
      <w:jc w:val="center"/>
    </w:pPr>
    <w:rPr>
      <w:rFonts w:ascii="Times New Roman" w:cs="Times New Roman" w:eastAsia="Times New Roman" w:hAnsi="Times New Roman"/>
      <w:b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0"/>
      <w:bCs w:val="0"/>
      <w:i w:val="0"/>
      <w:iCs w:val="0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paragraph" w:customStyle="1" w:styleId="Normal">
    <w:name w:val="Normal"/>
    <w:rPr>
      <w:rFonts w:ascii="Times New Roman" w:hAnsi="Times New Roman" w:eastAsia="Times New Roman" w:cs="Times New Roman"/>
      <w:sz w:val="24"/>
    </w:rPr>
  </w:style>
  <w:style w:type="paragraph" w:customStyle="1" w:styleId="BodyText">
    <w:name w:val="Body Text"/>
    <w:pPr>
      <w:widowControl/>
      <w:spacing w:before="100" w:after="0" w:line="360" w:lineRule="auto"/>
      <w:ind w:left="428" w:right="428" w:firstLine="1132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TableParagraph">
    <w:name w:val="Table Paragraph"/>
    <w:pPr>
      <w:spacing w:before="0" w:after="0" w:line="240" w:lineRule="auto"/>
      <w:ind w:left="88" w:right="88" w:firstLine="0"/>
      <w:jc w:val="left"/>
    </w:pPr>
    <w:rPr>
      <w:rFonts w:ascii="Times New Roman" w:hAnsi="Times New Roman" w:eastAsia="Times New Roman" w:cs="Times New Roman"/>
      <w:sz w:val="20"/>
    </w:rPr>
  </w:style>
  <w:style w:type="paragraph" w:customStyle="1" w:styleId="ListParagraph">
    <w:name w:val="List Paragraph"/>
    <w:pPr>
      <w:spacing w:before="100" w:after="0" w:line="360" w:lineRule="auto"/>
      <w:ind w:left="850" w:right="428" w:hanging="418"/>
      <w:jc w:val="both"/>
    </w:pPr>
    <w:rPr>
      <w:rFonts w:ascii="Times New Roman" w:hAnsi="Times New Roman" w:eastAsia="Times New Roman" w:cs="Times New Roman"/>
      <w:sz w:val="24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www.gov.br/gestao/pt-br/assuntos/estatais/central-de-conteudo/kits-governanca-ti/kit-2/gestao-de-riscos-de-seguranca-da-informacao/kit-2-governanca-tic-artefato-gestao-de-riscos-de-seguranca-da-informacao.pdf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4" Type="http://schemas.openxmlformats.org/officeDocument/2006/relationships/hyperlink" Target="https://www.aena.es/sites/Satellite?blobcol=urldata&amp;blobkey=id&amp;blobtable=MungoBlobs&amp;blobwhere=1576874115175&amp;ssbinary=true" TargetMode="Externa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PGR AeroLog — versão 0.4</dc:title>
  <cp:lastModifiedBy>python-docx</cp:lastModifiedBy>
  <cp:revision>1</cp:revision>
  <dcterms:modified xsi:type="dcterms:W3CDTF">2026-10-13T22:16:05Z</dcterms:modified>
  <dc:subject>Documento padronizado conforme a formatação do PCN</dc:subject>
  <dc:description>Formatação padronizada com preservação do conteúdo e das exceções aprovadas.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2026-08-20T00:00:00Z</vt:lpwstr>
  </property>
</Properties>
</file>