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keepNext w:val="0"/>
        <w:keepLines w:val="0"/>
        <w:widowControl/>
        <w:spacing w:line="240" w:lineRule="auto"/>
        <w:ind w:left="721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437836" cy="427481"/>
            <wp:effectExtent l="0" t="0" r="0" b="0"/>
            <wp:docPr id="2" name="Image 2" descr="Logotipo UNIPAM do documento acadêmico de referênci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Logotipo UNIPAM do documento acadêmico de referência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7836" cy="42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keepNext w:val="0"/>
        <w:keepLines w:val="0"/>
        <w:widowControl/>
        <w:spacing w:before="113"/>
        <w:ind w:left="0" w:right="564" w:firstLine="0"/>
        <w:jc w:val="center"/>
        <w:rPr>
          <w:b/>
          <w:sz w:val="28"/>
        </w:rPr>
      </w:pPr>
      <w:r>
        <w:rPr>
          <w:b w:val="1"/>
          <w:spacing w:val="-2"/>
          <w:sz w:val="28"/>
          <w:rFonts w:ascii="Times New Roman" w:hAnsi="Times New Roman" w:eastAsia="Times New Roman" w:cs="Times New Roman"/>
          <w:szCs w:val="28"/>
          <w:bCs w:val="1"/>
        </w:rPr>
        <w:t>UNIPAM</w:t>
      </w:r>
    </w:p>
    <w:p>
      <w:pPr>
        <w:keepNext w:val="0"/>
        <w:keepLines w:val="0"/>
        <w:widowControl/>
        <w:spacing w:before="96"/>
        <w:ind w:left="5" w:right="571" w:firstLine="0"/>
        <w:jc w:val="center"/>
        <w:rPr>
          <w:b/>
          <w:sz w:val="28"/>
        </w:rPr>
      </w:pPr>
      <w:r>
        <w:rPr>
          <w:b w:val="1"/>
          <w:sz w:val="28"/>
          <w:rFonts w:ascii="Times New Roman" w:hAnsi="Times New Roman" w:eastAsia="Times New Roman" w:cs="Times New Roman"/>
          <w:szCs w:val="28"/>
          <w:bCs w:val="1"/>
        </w:rPr>
        <w:t>CURSO</w:t>
      </w:r>
      <w:r>
        <w:rPr>
          <w:b w:val="1"/>
          <w:spacing w:val="-4"/>
          <w:sz w:val="28"/>
          <w:rFonts w:ascii="Times New Roman" w:hAnsi="Times New Roman" w:eastAsia="Times New Roman" w:cs="Times New Roman"/>
          <w:szCs w:val="28"/>
          <w:bCs w:val="1"/>
        </w:rPr>
        <w:t> </w:t>
      </w:r>
      <w:r>
        <w:rPr>
          <w:b w:val="1"/>
          <w:sz w:val="28"/>
          <w:rFonts w:ascii="Times New Roman" w:hAnsi="Times New Roman" w:eastAsia="Times New Roman" w:cs="Times New Roman"/>
          <w:szCs w:val="28"/>
          <w:bCs w:val="1"/>
        </w:rPr>
        <w:t>DE</w:t>
      </w:r>
      <w:r>
        <w:rPr>
          <w:b w:val="1"/>
          <w:spacing w:val="-3"/>
          <w:sz w:val="28"/>
          <w:rFonts w:ascii="Times New Roman" w:hAnsi="Times New Roman" w:eastAsia="Times New Roman" w:cs="Times New Roman"/>
          <w:szCs w:val="28"/>
          <w:bCs w:val="1"/>
        </w:rPr>
        <w:t> </w:t>
      </w:r>
      <w:r>
        <w:rPr>
          <w:b w:val="1"/>
          <w:sz w:val="28"/>
          <w:rFonts w:ascii="Times New Roman" w:hAnsi="Times New Roman" w:eastAsia="Times New Roman" w:cs="Times New Roman"/>
          <w:szCs w:val="28"/>
          <w:bCs w:val="1"/>
        </w:rPr>
        <w:t>SISTEMAS</w:t>
      </w:r>
      <w:r>
        <w:rPr>
          <w:b w:val="1"/>
          <w:spacing w:val="-3"/>
          <w:sz w:val="28"/>
          <w:rFonts w:ascii="Times New Roman" w:hAnsi="Times New Roman" w:eastAsia="Times New Roman" w:cs="Times New Roman"/>
          <w:szCs w:val="28"/>
          <w:bCs w:val="1"/>
        </w:rPr>
        <w:t> </w:t>
      </w:r>
      <w:r>
        <w:rPr>
          <w:b w:val="1"/>
          <w:sz w:val="28"/>
          <w:rFonts w:ascii="Times New Roman" w:hAnsi="Times New Roman" w:eastAsia="Times New Roman" w:cs="Times New Roman"/>
          <w:szCs w:val="28"/>
          <w:bCs w:val="1"/>
        </w:rPr>
        <w:t>DE</w:t>
      </w:r>
      <w:r>
        <w:rPr>
          <w:b w:val="1"/>
          <w:spacing w:val="-6"/>
          <w:sz w:val="28"/>
          <w:rFonts w:ascii="Times New Roman" w:hAnsi="Times New Roman" w:eastAsia="Times New Roman" w:cs="Times New Roman"/>
          <w:szCs w:val="28"/>
          <w:bCs w:val="1"/>
        </w:rPr>
        <w:t> </w:t>
      </w:r>
      <w:r>
        <w:rPr>
          <w:b w:val="1"/>
          <w:spacing w:val="-2"/>
          <w:sz w:val="28"/>
          <w:rFonts w:ascii="Times New Roman" w:hAnsi="Times New Roman" w:eastAsia="Times New Roman" w:cs="Times New Roman"/>
          <w:szCs w:val="28"/>
          <w:bCs w:val="1"/>
        </w:rPr>
        <w:t>INFORMAÇÃO</w:t>
      </w:r>
    </w:p>
    <w:p>
      <w:pPr>
        <w:pStyle w:val="BodyText"/>
        <w:keepNext w:val="0"/>
        <w:keepLines w:val="0"/>
        <w:widowControl/>
        <w:spacing w:line="321" w:lineRule="auto" w:before="95"/>
        <w:ind w:left="2433" w:right="2960" w:firstLine="568"/>
      </w:pPr>
      <w:r>
        <w:rPr>
          <w:rFonts w:ascii="Times New Roman" w:hAnsi="Times New Roman" w:eastAsia="Times New Roman" w:cs="Times New Roman"/>
          <w:sz w:val="24"/>
          <w:szCs w:val="24"/>
        </w:rPr>
        <w:t>Auditoria e Segurança de Sistemas Turma</w:t>
      </w:r>
      <w:r>
        <w:rPr>
          <w:spacing w:val="-6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/</w:t>
      </w:r>
      <w:r>
        <w:rPr>
          <w:spacing w:val="-6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período:</w:t>
      </w:r>
      <w:r>
        <w:rPr>
          <w:spacing w:val="-6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Sistemas</w:t>
      </w:r>
      <w:r>
        <w:rPr>
          <w:spacing w:val="-6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Informação</w:t>
      </w:r>
      <w:r>
        <w:rPr>
          <w:spacing w:val="-6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6º B</w:t>
      </w:r>
      <w:r>
        <w:rPr>
          <w:spacing w:val="-8"/>
          <w:rFonts w:ascii="Times New Roman" w:hAnsi="Times New Roman" w:eastAsia="Times New Roman" w:cs="Times New Roman"/>
          <w:sz w:val="24"/>
          <w:szCs w:val="24"/>
        </w:rPr>
        <w:t/>
      </w:r>
      <w:r>
        <w:rPr>
          <w:rFonts w:ascii="Times New Roman" w:hAnsi="Times New Roman" w:eastAsia="Times New Roman" w:cs="Times New Roman"/>
          <w:sz w:val="24"/>
          <w:szCs w:val="24"/>
        </w:rPr>
        <w:t/>
      </w: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  <w:spacing w:before="232"/>
      </w:pPr>
    </w:p>
    <w:p>
      <w:pPr>
        <w:pStyle w:val="Title"/>
        <w:ind w:left="0" w:right="572" w:firstLine="0"/>
        <w:jc w:val="center"/>
      </w:pPr>
      <w:r>
        <w:rPr>
          <w:rFonts w:ascii="Times New Roman" w:hAnsi="Times New Roman" w:eastAsia="Times New Roman" w:cs="Times New Roman"/>
          <w:sz w:val="40"/>
          <w:szCs w:val="40"/>
          <w:b w:val="1"/>
          <w:bCs w:val="1"/>
          <w:i w:val="0"/>
          <w:iCs w:val="0"/>
        </w:rPr>
        <w:t>Plano</w:t>
      </w:r>
      <w:r>
        <w:rPr>
          <w:spacing w:val="-2"/>
          <w:rFonts w:ascii="Times New Roman" w:hAnsi="Times New Roman" w:eastAsia="Times New Roman" w:cs="Times New Roman"/>
          <w:sz w:val="40"/>
          <w:szCs w:val="40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40"/>
          <w:szCs w:val="40"/>
          <w:b w:val="1"/>
          <w:bCs w:val="1"/>
          <w:i w:val="0"/>
          <w:iCs w:val="0"/>
        </w:rPr>
        <w:t>de</w:t>
      </w:r>
      <w:r>
        <w:rPr>
          <w:spacing w:val="-3"/>
          <w:rFonts w:ascii="Times New Roman" w:hAnsi="Times New Roman" w:eastAsia="Times New Roman" w:cs="Times New Roman"/>
          <w:sz w:val="40"/>
          <w:szCs w:val="40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40"/>
          <w:szCs w:val="40"/>
          <w:b w:val="1"/>
          <w:bCs w:val="1"/>
          <w:i w:val="0"/>
          <w:iCs w:val="0"/>
        </w:rPr>
        <w:t>Continuidade</w:t>
      </w:r>
      <w:r>
        <w:rPr>
          <w:spacing w:val="-5"/>
          <w:rFonts w:ascii="Times New Roman" w:hAnsi="Times New Roman" w:eastAsia="Times New Roman" w:cs="Times New Roman"/>
          <w:sz w:val="40"/>
          <w:szCs w:val="40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40"/>
          <w:szCs w:val="40"/>
          <w:b w:val="1"/>
          <w:bCs w:val="1"/>
          <w:i w:val="0"/>
          <w:iCs w:val="0"/>
        </w:rPr>
        <w:t>de</w:t>
      </w:r>
      <w:r>
        <w:rPr>
          <w:spacing w:val="-1"/>
          <w:rFonts w:ascii="Times New Roman" w:hAnsi="Times New Roman" w:eastAsia="Times New Roman" w:cs="Times New Roman"/>
          <w:sz w:val="40"/>
          <w:szCs w:val="40"/>
          <w:b w:val="1"/>
          <w:bCs w:val="1"/>
          <w:i w:val="0"/>
          <w:iCs w:val="0"/>
        </w:rPr>
        <w:t> </w:t>
      </w:r>
      <w:r>
        <w:rPr>
          <w:spacing w:val="-2"/>
          <w:rFonts w:ascii="Times New Roman" w:hAnsi="Times New Roman" w:eastAsia="Times New Roman" w:cs="Times New Roman"/>
          <w:sz w:val="40"/>
          <w:szCs w:val="40"/>
          <w:b w:val="1"/>
          <w:bCs w:val="1"/>
          <w:i w:val="0"/>
          <w:iCs w:val="0"/>
        </w:rPr>
        <w:t>Negócios</w:t>
      </w:r>
    </w:p>
    <w:p>
      <w:pPr>
        <w:pStyle w:val="BodyText"/>
        <w:keepNext w:val="0"/>
        <w:keepLines w:val="0"/>
        <w:widowControl/>
        <w:spacing w:line="374" w:lineRule="auto" w:before="203"/>
        <w:ind w:left="3086" w:right="3657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AeroLog</w:t>
      </w:r>
      <w:r>
        <w:rPr>
          <w:spacing w:val="-1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Transportes</w:t>
      </w:r>
      <w:r>
        <w:rPr>
          <w:spacing w:val="-1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Aéreos 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PCN</w:t>
      </w: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  <w:spacing w:before="273"/>
      </w:pPr>
    </w:p>
    <w:p>
      <w:pPr>
        <w:pStyle w:val="BodyText"/>
        <w:keepNext w:val="0"/>
        <w:keepLines w:val="0"/>
        <w:widowControl/>
        <w:spacing w:line="252" w:lineRule="auto"/>
        <w:ind w:left="6392" w:right="423" w:firstLine="218"/>
        <w:jc w:val="right"/>
      </w:pPr>
      <w:r>
        <w:rPr>
          <w:rFonts w:ascii="Times New Roman" w:hAnsi="Times New Roman" w:eastAsia="Times New Roman" w:cs="Times New Roman"/>
          <w:sz w:val="24"/>
          <w:szCs w:val="24"/>
        </w:rPr>
        <w:t>Arthur</w:t>
      </w:r>
      <w:r>
        <w:rPr>
          <w:spacing w:val="-12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Aparecido</w:t>
      </w:r>
      <w:r>
        <w:rPr>
          <w:spacing w:val="-12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Sousa</w:t>
      </w:r>
      <w:r>
        <w:rPr>
          <w:spacing w:val="-1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Silva Caio Cesar Alves de Freitas Gustavo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Jesus Damiço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Sousa</w:t>
      </w:r>
    </w:p>
    <w:p>
      <w:pPr>
        <w:pStyle w:val="BodyText"/>
        <w:keepNext w:val="0"/>
        <w:keepLines w:val="0"/>
        <w:widowControl/>
        <w:spacing w:line="252" w:lineRule="auto"/>
        <w:ind w:left="7578" w:right="422" w:hanging="53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Higor</w:t>
      </w:r>
      <w:r>
        <w:rPr>
          <w:spacing w:val="-1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Honório</w:t>
      </w:r>
      <w:r>
        <w:rPr>
          <w:spacing w:val="-1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Silva Isadora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Santos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Leal Sabrina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Naoko</w:t>
      </w:r>
      <w:r>
        <w:rPr>
          <w:spacing w:val="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Ishii</w:t>
      </w:r>
    </w:p>
    <w:p>
      <w:pPr>
        <w:pStyle w:val="BodyText"/>
        <w:keepNext w:val="0"/>
        <w:keepLines w:val="0"/>
        <w:widowControl/>
        <w:spacing w:after="0" w:line="252" w:lineRule="auto"/>
        <w:jc w:val="both"/>
        <w:sectPr>
          <w:footerReference w:type="default" r:id="rId5"/>
          <w:type w:val="continuous"/>
          <w:pgSz w:w="11910" w:h="16840"/>
          <w:pgMar w:header="0" w:footer="1520" w:top="1000" w:bottom="1740" w:left="1275" w:right="708"/>
          <w:pgNumType w:start="1"/>
        </w:sectPr>
      </w:pPr>
    </w:p>
    <w:p>
      <w:pPr>
        <w:pStyle w:val="BodyText"/>
        <w:keepNext w:val="0"/>
        <w:keepLines w:val="0"/>
        <w:widowControl/>
        <w:spacing w:line="252" w:lineRule="auto" w:before="60"/>
        <w:ind w:left="3125" w:right="3690" w:hanging="3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Arthur Aparecido Sousa Silva Caio Cesar Alves de Freitas Gustavo</w:t>
      </w:r>
      <w:r>
        <w:rPr>
          <w:spacing w:val="-9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Jesus</w:t>
      </w:r>
      <w:r>
        <w:rPr>
          <w:spacing w:val="-9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Damiço</w:t>
      </w:r>
      <w:r>
        <w:rPr>
          <w:spacing w:val="-9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spacing w:val="-10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Sousa Higor Honório Silva</w:t>
      </w:r>
    </w:p>
    <w:p>
      <w:pPr>
        <w:pStyle w:val="BodyText"/>
        <w:keepNext w:val="0"/>
        <w:keepLines w:val="0"/>
        <w:widowControl/>
        <w:spacing w:line="252" w:lineRule="auto" w:before="1"/>
        <w:ind w:left="3718" w:right="4287" w:hanging="2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Isadora</w:t>
      </w:r>
      <w:r>
        <w:rPr>
          <w:spacing w:val="-6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Santos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Leal Sabrina</w:t>
      </w:r>
      <w:r>
        <w:rPr>
          <w:spacing w:val="-6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Naoko</w:t>
      </w:r>
      <w:r>
        <w:rPr>
          <w:spacing w:val="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Ishii</w:t>
      </w: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  <w:spacing w:before="44"/>
      </w:pPr>
    </w:p>
    <w:p>
      <w:pPr>
        <w:pStyle w:val="Title"/>
        <w:ind w:left="0" w:right="572" w:firstLine="0"/>
        <w:jc w:val="center"/>
      </w:pPr>
      <w:r>
        <w:rPr>
          <w:rFonts w:ascii="Times New Roman" w:hAnsi="Times New Roman" w:eastAsia="Times New Roman" w:cs="Times New Roman"/>
          <w:sz w:val="40"/>
          <w:szCs w:val="40"/>
          <w:b w:val="1"/>
          <w:bCs w:val="1"/>
          <w:i w:val="0"/>
          <w:iCs w:val="0"/>
        </w:rPr>
        <w:t>Plano</w:t>
      </w:r>
      <w:r>
        <w:rPr>
          <w:spacing w:val="-2"/>
          <w:rFonts w:ascii="Times New Roman" w:hAnsi="Times New Roman" w:eastAsia="Times New Roman" w:cs="Times New Roman"/>
          <w:sz w:val="40"/>
          <w:szCs w:val="40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40"/>
          <w:szCs w:val="40"/>
          <w:b w:val="1"/>
          <w:bCs w:val="1"/>
          <w:i w:val="0"/>
          <w:iCs w:val="0"/>
        </w:rPr>
        <w:t>de</w:t>
      </w:r>
      <w:r>
        <w:rPr>
          <w:spacing w:val="-3"/>
          <w:rFonts w:ascii="Times New Roman" w:hAnsi="Times New Roman" w:eastAsia="Times New Roman" w:cs="Times New Roman"/>
          <w:sz w:val="40"/>
          <w:szCs w:val="40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40"/>
          <w:szCs w:val="40"/>
          <w:b w:val="1"/>
          <w:bCs w:val="1"/>
          <w:i w:val="0"/>
          <w:iCs w:val="0"/>
        </w:rPr>
        <w:t>Continuidade</w:t>
      </w:r>
      <w:r>
        <w:rPr>
          <w:spacing w:val="-5"/>
          <w:rFonts w:ascii="Times New Roman" w:hAnsi="Times New Roman" w:eastAsia="Times New Roman" w:cs="Times New Roman"/>
          <w:sz w:val="40"/>
          <w:szCs w:val="40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40"/>
          <w:szCs w:val="40"/>
          <w:b w:val="1"/>
          <w:bCs w:val="1"/>
          <w:i w:val="0"/>
          <w:iCs w:val="0"/>
        </w:rPr>
        <w:t>de</w:t>
      </w:r>
      <w:r>
        <w:rPr>
          <w:spacing w:val="-1"/>
          <w:rFonts w:ascii="Times New Roman" w:hAnsi="Times New Roman" w:eastAsia="Times New Roman" w:cs="Times New Roman"/>
          <w:sz w:val="40"/>
          <w:szCs w:val="40"/>
          <w:b w:val="1"/>
          <w:bCs w:val="1"/>
          <w:i w:val="0"/>
          <w:iCs w:val="0"/>
        </w:rPr>
        <w:t> </w:t>
      </w:r>
      <w:r>
        <w:rPr>
          <w:spacing w:val="-2"/>
          <w:rFonts w:ascii="Times New Roman" w:hAnsi="Times New Roman" w:eastAsia="Times New Roman" w:cs="Times New Roman"/>
          <w:sz w:val="40"/>
          <w:szCs w:val="40"/>
          <w:b w:val="1"/>
          <w:bCs w:val="1"/>
          <w:i w:val="0"/>
          <w:iCs w:val="0"/>
        </w:rPr>
        <w:t>Negócios</w:t>
      </w:r>
    </w:p>
    <w:p>
      <w:pPr>
        <w:pStyle w:val="BodyText"/>
        <w:keepNext w:val="0"/>
        <w:keepLines w:val="0"/>
        <w:widowControl/>
        <w:spacing w:before="204"/>
        <w:ind w:right="571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AeroLog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Transportes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 Aéreos</w:t>
      </w: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  <w:spacing w:before="79"/>
      </w:pPr>
    </w:p>
    <w:p>
      <w:pPr>
        <w:pStyle w:val="BodyText"/>
        <w:keepNext w:val="0"/>
        <w:keepLines w:val="0"/>
        <w:widowControl/>
        <w:spacing w:line="252" w:lineRule="auto"/>
        <w:ind w:left="5552" w:right="423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Documento interno para continuidade e recuperação dos processos e sistemas críticos da AeroLog Transportes Aéreos.</w:t>
      </w:r>
    </w:p>
    <w:p>
      <w:pPr>
        <w:pStyle w:val="BodyText"/>
        <w:keepNext w:val="0"/>
        <w:keepLines w:val="0"/>
        <w:widowControl/>
        <w:spacing w:line="338" w:lineRule="auto" w:before="241"/>
        <w:ind w:left="5012" w:right="423" w:firstLine="832"/>
        <w:jc w:val="right"/>
      </w:pPr>
      <w:r>
        <w:rPr>
          <w:rFonts w:ascii="Times New Roman" w:hAnsi="Times New Roman" w:eastAsia="Times New Roman" w:cs="Times New Roman"/>
          <w:sz w:val="24"/>
          <w:szCs w:val="24"/>
        </w:rPr>
        <w:t>Professor(a):</w:t>
      </w:r>
      <w:r>
        <w:rPr>
          <w:spacing w:val="-9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Eder</w:t>
      </w:r>
      <w:r>
        <w:rPr>
          <w:spacing w:val="-9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Manoel</w:t>
      </w:r>
      <w:r>
        <w:rPr>
          <w:spacing w:val="-9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spacing w:val="-9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Santana Turma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/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período: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Sistemas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spacing w:val="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Informação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6º B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/>
      </w:r>
      <w:r>
        <w:rPr>
          <w:spacing w:val="-10"/>
          <w:rFonts w:ascii="Times New Roman" w:hAnsi="Times New Roman" w:eastAsia="Times New Roman" w:cs="Times New Roman"/>
          <w:sz w:val="24"/>
          <w:szCs w:val="24"/>
        </w:rPr>
        <w:t/>
      </w:r>
    </w:p>
    <w:p>
      <w:pPr>
        <w:pStyle w:val="BodyText"/>
        <w:keepNext w:val="0"/>
        <w:keepLines w:val="0"/>
        <w:widowControl/>
        <w:spacing w:line="276" w:lineRule="exact"/>
        <w:ind w:right="424"/>
        <w:jc w:val="right"/>
      </w:pPr>
      <w:r>
        <w:rPr>
          <w:rFonts w:ascii="Times New Roman" w:hAnsi="Times New Roman" w:eastAsia="Times New Roman" w:cs="Times New Roman"/>
          <w:sz w:val="24"/>
          <w:szCs w:val="24"/>
        </w:rPr>
        <w:t>Classificação: Uso interno</w:t>
      </w:r>
    </w:p>
    <w:p>
      <w:pPr>
        <w:pStyle w:val="BodyText"/>
        <w:keepNext w:val="0"/>
        <w:keepLines w:val="0"/>
        <w:widowControl/>
        <w:spacing w:line="276" w:lineRule="exact"/>
        <w:ind w:right="424"/>
        <w:jc w:val="right"/>
      </w:pPr>
      <w:r>
        <w:rPr>
          <w:rFonts w:ascii="Times New Roman" w:hAnsi="Times New Roman" w:eastAsia="Times New Roman" w:cs="Times New Roman"/>
          <w:sz w:val="24"/>
          <w:szCs w:val="24"/>
        </w:rPr>
        <w:t>Versão: 0.4</w:t>
      </w:r>
    </w:p>
    <w:p>
      <w:pPr>
        <w:pStyle w:val="BodyText"/>
        <w:keepNext w:val="0"/>
        <w:keepLines w:val="0"/>
        <w:widowControl/>
        <w:spacing w:line="276" w:lineRule="exact"/>
        <w:ind w:right="424"/>
        <w:jc w:val="right"/>
      </w:pPr>
      <w:r>
        <w:rPr>
          <w:rFonts w:ascii="Times New Roman" w:hAnsi="Times New Roman" w:eastAsia="Times New Roman" w:cs="Times New Roman"/>
          <w:sz w:val="24"/>
          <w:szCs w:val="24"/>
        </w:rPr>
        <w:t>Data de emissão: 18/10/2026</w:t>
      </w: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</w:pPr>
    </w:p>
    <w:p>
      <w:pPr>
        <w:pStyle w:val="BodyText"/>
        <w:keepNext w:val="0"/>
        <w:keepLines w:val="0"/>
        <w:widowControl/>
        <w:spacing w:before="139"/>
      </w:pPr>
    </w:p>
    <w:p>
      <w:pPr>
        <w:pStyle w:val="BodyText"/>
        <w:keepNext w:val="0"/>
        <w:keepLines w:val="0"/>
        <w:widowControl/>
        <w:spacing w:line="357" w:lineRule="auto" w:before="1"/>
        <w:ind w:left="3101" w:right="2236" w:hanging="3"/>
      </w:pPr>
      <w:r>
        <w:rPr>
          <w:rFonts w:ascii="Times New Roman" w:hAnsi="Times New Roman" w:eastAsia="Times New Roman" w:cs="Times New Roman"/>
          <w:sz w:val="24"/>
          <w:szCs w:val="24"/>
        </w:rPr>
        <w:t>Responsável pela elaboração: Gestão de Segurança da Informação</w:t>
        <w:br/>
        <w:t>Aprovação: Alta Administração</w:t>
      </w:r>
    </w:p>
    <w:p>
      <w:pPr>
        <w:pStyle w:val="BodyText"/>
        <w:keepNext w:val="0"/>
        <w:keepLines w:val="0"/>
        <w:widowControl/>
        <w:spacing w:after="0" w:line="357" w:lineRule="auto"/>
        <w:sectPr>
          <w:footerReference w:type="default" r:id="rId7"/>
          <w:pgSz w:w="11910" w:h="16840"/>
          <w:pgMar w:header="0" w:footer="1426" w:top="940" w:bottom="1660" w:left="1275" w:right="708"/>
        </w:sectPr>
      </w:pPr>
    </w:p>
    <w:p>
      <w:pPr>
        <w:pStyle w:val="Heading1"/>
        <w:keepNext/>
        <w:keepLines/>
        <w:numPr>
          <w:ilvl w:val="0"/>
          <w:numId w:val="1"/>
        </w:numPr>
        <w:tabs>
          <w:tab w:pos="858" w:val="left" w:leader="none"/>
        </w:tabs>
        <w:spacing w:line="240" w:lineRule="auto" w:before="200" w:after="0"/>
        <w:ind w:left="858" w:right="0" w:hanging="431"/>
        <w:jc w:val="both"/>
      </w:pP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Objetivo</w:t>
      </w:r>
    </w:p>
    <w:p>
      <w:pPr>
        <w:pStyle w:val="BodyText"/>
        <w:keepNext w:val="0"/>
        <w:keepLines w:val="0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O Plano de Continuidade de Negócios (PCN) da AeroLog Transportes Aéreos estabelece diretrizes para manter atividades essenciais em condições controladas e recuperar serviços após interrupções que comprometam o transporte de cargas e passageiros. O plano considera as características da empresa: atuação em 20 cidades, 1.100 colaboradores, 50 servidores locais, equipe interna de TI, sistemas críticos embarcados e fornecedores internacionais de software de navegação.</w:t>
      </w:r>
    </w:p>
    <w:p>
      <w:pPr>
        <w:pStyle w:val="Heading1"/>
        <w:keepNext/>
        <w:keepLines/>
        <w:numPr>
          <w:ilvl w:val="1"/>
          <w:numId w:val="1"/>
        </w:numPr>
        <w:tabs>
          <w:tab w:pos="1002" w:val="left" w:leader="none"/>
        </w:tabs>
        <w:spacing w:line="240" w:lineRule="auto" w:before="200" w:after="0"/>
        <w:ind w:left="858" w:right="0" w:hanging="431"/>
        <w:jc w:val="both"/>
      </w:pP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Escopo</w:t>
      </w:r>
    </w:p>
    <w:p>
      <w:pPr>
        <w:pStyle w:val="BodyText"/>
        <w:keepNext w:val="0"/>
        <w:keepLines w:val="0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O escopo abrange: (a) reservas e emissão de passagens; (b) sistemas legados de controle de voo e suporte às operações de voo; (c) sistemas embarcados relacionados à segurança operacional; (d) infraestrutura local indispensável a esses processos; e (e) dependências de suporte técnico externo. O escopo corresponde aos riscos identificados na PGR: R01 (DDoS em reservas — crítico), R02 (fraude de passagens via GDS — crítico), R03 (comprometimento via suporte externo — alto), R04 (falha de sistemas legados de controle de voo — crítico) e R05 (comprometimento de sistema embarcado — alto). Os níveis são os da PGR, não avaliações novas do PCN.</w:t>
      </w:r>
    </w:p>
    <w:p>
      <w:pPr>
        <w:pStyle w:val="BodyText"/>
        <w:keepNext w:val="0"/>
        <w:keepLines w:val="0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 continuidade significa manter somente as atividades autorizadas e tecnicamente seguras</w:t>
      </w:r>
      <w:r>
        <w:rPr>
          <w:spacing w:val="-8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durante</w:t>
      </w:r>
      <w:r>
        <w:rPr>
          <w:spacing w:val="-9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uma</w:t>
      </w:r>
      <w:r>
        <w:rPr>
          <w:spacing w:val="-9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interrupção;</w:t>
      </w:r>
      <w:r>
        <w:rPr>
          <w:spacing w:val="-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spacing w:val="-9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recuperação</w:t>
      </w:r>
      <w:r>
        <w:rPr>
          <w:spacing w:val="-8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significa</w:t>
      </w:r>
      <w:r>
        <w:rPr>
          <w:spacing w:val="-9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restabelecer</w:t>
      </w:r>
      <w:r>
        <w:rPr>
          <w:spacing w:val="-9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os</w:t>
      </w:r>
      <w:r>
        <w:rPr>
          <w:spacing w:val="-8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serviços</w:t>
      </w:r>
      <w:r>
        <w:rPr>
          <w:spacing w:val="-8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normais</w:t>
      </w:r>
      <w:r>
        <w:rPr>
          <w:spacing w:val="-8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após validação de disponibilidade, integridade e condições operacionais. A execução do PCN não substitui a resposta a incidentes de segurança nem autoriza a realização de voos sem as informações e aprovações exigidas pelas funções competentes.</w:t>
      </w:r>
    </w:p>
    <w:p>
      <w:pPr>
        <w:pStyle w:val="BodyText"/>
        <w:keepNext w:val="0"/>
        <w:keepLines w:val="0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 ativação ocorre quando um dos eventos R01–R05 produzir interrupção relevante ou comprometer a capacidade de manter um processo crítico, superando o tratamento rotineiro. A ocorrência de R02, isoladamente, não implica indisponibilidade: fraude exige apuração e correção de registros, e só demanda contingência quando efetivamente interromper o processo. A TI avalia a dimensão técnica, os responsáveis operacionais avaliam as restrições de segurança e a função formalmente designada pela direção autoriza a ativação e o encerramento do plano.</w:t>
      </w:r>
    </w:p>
    <w:p>
      <w:pPr>
        <w:pStyle w:val="BodyText"/>
        <w:keepNext w:val="0"/>
        <w:keepLines w:val="0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Condições de planejamento: os ambientes alternativos, os procedimentos de emergência, os contatos, a capacidade de contingência e os prazos de recuperação devem ser definidos, mantidos e validados pelos responsáveis indicados neste plano.</w:t>
      </w:r>
    </w:p>
    <w:p>
      <w:pPr>
        <w:pStyle w:val="BodyText"/>
        <w:keepNext w:val="0"/>
        <w:keepLines w:val="0"/>
        <w:widowControl/>
        <w:spacing w:after="0" w:line="360" w:lineRule="auto" w:before="100"/>
        <w:ind w:left="428" w:right="428" w:firstLine="1132"/>
        <w:jc w:val="both"/>
        <w:sectPr>
          <w:footerReference w:type="default" r:id="rId8"/>
          <w:pgSz w:w="11910" w:h="16840"/>
          <w:pgMar w:header="0" w:footer="538" w:top="1820" w:bottom="760" w:left="1275" w:right="708"/>
          <w:pgNumType w:start="3"/>
        </w:sectPr>
      </w:pPr>
    </w:p>
    <w:p>
      <w:pPr>
        <w:pStyle w:val="Heading1"/>
        <w:keepNext/>
        <w:keepLines/>
        <w:numPr>
          <w:ilvl w:val="0"/>
          <w:numId w:val="1"/>
        </w:numPr>
        <w:tabs>
          <w:tab w:pos="858" w:val="left" w:leader="none"/>
        </w:tabs>
        <w:spacing w:line="240" w:lineRule="auto" w:before="200" w:after="0"/>
        <w:ind w:left="858" w:right="0" w:hanging="431"/>
        <w:jc w:val="both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Processos</w:t>
      </w: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e</w:t>
      </w: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Sistemas</w:t>
      </w:r>
      <w:r>
        <w:rPr>
          <w:spacing w:val="-1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</w:t>
      </w: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Críticos</w:t>
      </w:r>
    </w:p>
    <w:p>
      <w:pPr>
        <w:pStyle w:val="BodyText"/>
        <w:keepNext w:val="0"/>
        <w:keepLines w:val="0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O levantamento identifica os processos impactados pelos riscos R01–R05 da PGR e as dependências necessárias à continuidade e à recuperação segura. A TI deve manter o inventário dos sistemas, servidores, integrações e responsáveis, com apoio das áreas operacionais.</w:t>
      </w:r>
    </w:p>
    <w:p>
      <w:pPr>
        <w:pStyle w:val="BodyText"/>
        <w:keepNext w:val="0"/>
        <w:keepLines w:val="0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No mapeamento de riscos: reservas correspondem a R01; emissão/GDS a R02; suporte</w:t>
      </w:r>
      <w:r>
        <w:rPr>
          <w:spacing w:val="-1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externo</w:t>
      </w:r>
      <w:r>
        <w:rPr>
          <w:spacing w:val="-7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spacing w:val="-1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R03;</w:t>
      </w:r>
      <w:r>
        <w:rPr>
          <w:spacing w:val="-9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falha de sistemas legados de controle de voo a R04;</w:t>
      </w:r>
      <w:r>
        <w:rPr>
          <w:spacing w:val="-10"/>
          <w:rFonts w:ascii="Times New Roman" w:hAnsi="Times New Roman" w:eastAsia="Times New Roman" w:cs="Times New Roman"/>
          <w:sz w:val="24"/>
          <w:szCs w:val="24"/>
        </w:rPr>
        <w:t/>
      </w:r>
      <w:r>
        <w:rPr>
          <w:rFonts w:ascii="Times New Roman" w:hAnsi="Times New Roman" w:eastAsia="Times New Roman" w:cs="Times New Roman"/>
          <w:sz w:val="24"/>
          <w:szCs w:val="24"/>
        </w:rPr>
        <w:t/>
      </w:r>
      <w:r>
        <w:rPr>
          <w:spacing w:val="-11"/>
          <w:rFonts w:ascii="Times New Roman" w:hAnsi="Times New Roman" w:eastAsia="Times New Roman" w:cs="Times New Roman"/>
          <w:sz w:val="24"/>
          <w:szCs w:val="24"/>
        </w:rPr>
        <w:t/>
      </w:r>
      <w:r>
        <w:rPr>
          <w:rFonts w:ascii="Times New Roman" w:hAnsi="Times New Roman" w:eastAsia="Times New Roman" w:cs="Times New Roman"/>
          <w:sz w:val="24"/>
          <w:szCs w:val="24"/>
        </w:rPr>
        <w:t/>
      </w:r>
      <w:r>
        <w:rPr>
          <w:spacing w:val="-10"/>
          <w:rFonts w:ascii="Times New Roman" w:hAnsi="Times New Roman" w:eastAsia="Times New Roman" w:cs="Times New Roman"/>
          <w:sz w:val="24"/>
          <w:szCs w:val="24"/>
        </w:rPr>
        <w:t/>
      </w:r>
      <w:r>
        <w:rPr>
          <w:rFonts w:ascii="Times New Roman" w:hAnsi="Times New Roman" w:eastAsia="Times New Roman" w:cs="Times New Roman"/>
          <w:sz w:val="24"/>
          <w:szCs w:val="24"/>
        </w:rPr>
        <w:t/>
      </w:r>
      <w:r>
        <w:rPr>
          <w:spacing w:val="-11"/>
          <w:rFonts w:ascii="Times New Roman" w:hAnsi="Times New Roman" w:eastAsia="Times New Roman" w:cs="Times New Roman"/>
          <w:sz w:val="24"/>
          <w:szCs w:val="24"/>
        </w:rPr>
        <w:t/>
      </w:r>
      <w:r>
        <w:rPr>
          <w:rFonts w:ascii="Times New Roman" w:hAnsi="Times New Roman" w:eastAsia="Times New Roman" w:cs="Times New Roman"/>
          <w:sz w:val="24"/>
          <w:szCs w:val="24"/>
        </w:rPr>
        <w:t/>
      </w:r>
      <w:r>
        <w:rPr>
          <w:spacing w:val="-9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spacing w:val="-1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sistemas</w:t>
      </w:r>
      <w:r>
        <w:rPr>
          <w:spacing w:val="-9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embarcados</w:t>
      </w:r>
      <w:r>
        <w:rPr>
          <w:spacing w:val="-9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spacing w:val="-1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R05.</w:t>
      </w:r>
      <w:r>
        <w:rPr>
          <w:spacing w:val="-8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Para</w:t>
      </w:r>
      <w:r>
        <w:rPr>
          <w:spacing w:val="-1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cada</w:t>
      </w:r>
      <w:r>
        <w:rPr>
          <w:spacing w:val="-1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sistema, a área responsável deverá confirmar o inventário, dados essenciais, dependências e validação. A</w:t>
      </w:r>
      <w:r>
        <w:rPr>
          <w:spacing w:val="-8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TI</w:t>
      </w:r>
      <w:r>
        <w:rPr>
          <w:spacing w:val="-10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interna</w:t>
      </w:r>
      <w:r>
        <w:rPr>
          <w:spacing w:val="-7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coordena</w:t>
      </w:r>
      <w:r>
        <w:rPr>
          <w:spacing w:val="-8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o</w:t>
      </w:r>
      <w:r>
        <w:rPr>
          <w:spacing w:val="-6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levantamento</w:t>
      </w:r>
      <w:r>
        <w:rPr>
          <w:spacing w:val="-7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tecnológico,</w:t>
      </w:r>
      <w:r>
        <w:rPr>
          <w:spacing w:val="-7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enquanto</w:t>
      </w:r>
      <w:r>
        <w:rPr>
          <w:spacing w:val="-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engenheiros,</w:t>
      </w:r>
      <w:r>
        <w:rPr>
          <w:spacing w:val="-8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pilotos,</w:t>
      </w:r>
      <w:r>
        <w:rPr>
          <w:spacing w:val="-7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manutenção e profissionais de atendimento colaboram conforme a atividade.</w:t>
      </w:r>
    </w:p>
    <w:p>
      <w:pPr>
        <w:pStyle w:val="BodyText"/>
        <w:keepNext w:val="0"/>
        <w:keepLines w:val="0"/>
        <w:widowControl/>
        <w:spacing w:before="100" w:after="0" w:line="360" w:lineRule="auto"/>
        <w:ind w:left="428" w:right="428" w:firstLine="1132"/>
        <w:jc w:val="both"/>
        <w:rPr>
          <w:sz w:val="8"/>
        </w:rPr>
      </w:pPr>
    </w:p>
    <w:tbl>
      <w:tblPr>
        <w:tblW w:w="0" w:type="auto"/>
        <w:jc w:val="left"/>
        <w:tblInd w:w="146" w:type="dxa"/>
        <w:tblLayout w:type="fixed"/>
        <w:tblLook w:val="01E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434"/>
        <w:gridCol w:w="3574"/>
        <w:gridCol w:w="3634"/>
      </w:tblGrid>
      <w:tr>
        <w:trPr/>
        <w:tc>
          <w:tcPr>
            <w:tcW w:w="2434" w:type="dxa"/>
            <w:shd w:val="clear" w:color="auto" w:fill="E7ECF1"/>
            <w:vAlign w:val="center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sz w:val="20"/>
                <w:szCs w:val="20"/>
                <w:bCs w:val="1"/>
              </w:rPr>
              <w:t>Processo</w:t>
            </w:r>
            <w:r>
              <w:rPr>
                <w:rFonts w:ascii="Times New Roman" w:hAnsi="Times New Roman" w:eastAsia="Times New Roman" w:cs="Times New Roman"/>
                <w:b w:val="1"/>
                <w:spacing w:val="-2"/>
                <w:sz w:val="20"/>
                <w:szCs w:val="20"/>
                <w:bCs w:val="1"/>
              </w:rPr>
              <w:t> </w:t>
            </w:r>
            <w:r>
              <w:rPr>
                <w:rFonts w:ascii="Times New Roman" w:hAnsi="Times New Roman" w:eastAsia="Times New Roman" w:cs="Times New Roman"/>
                <w:b w:val="1"/>
                <w:sz w:val="20"/>
                <w:szCs w:val="20"/>
                <w:bCs w:val="1"/>
              </w:rPr>
              <w:t>/</w:t>
            </w:r>
            <w:r>
              <w:rPr>
                <w:rFonts w:ascii="Times New Roman" w:hAnsi="Times New Roman" w:eastAsia="Times New Roman" w:cs="Times New Roman"/>
                <w:b w:val="1"/>
                <w:spacing w:val="-2"/>
                <w:sz w:val="20"/>
                <w:szCs w:val="20"/>
                <w:bCs w:val="1"/>
              </w:rPr>
              <w:t> sistema</w:t>
            </w:r>
          </w:p>
        </w:tc>
        <w:tc>
          <w:tcPr>
            <w:tcW w:w="3574" w:type="dxa"/>
            <w:shd w:val="clear" w:color="auto" w:fill="E7ECF1"/>
            <w:vAlign w:val="center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sz w:val="20"/>
                <w:szCs w:val="20"/>
                <w:bCs w:val="1"/>
              </w:rPr>
              <w:t>O que </w:t>
            </w:r>
            <w:r>
              <w:rPr>
                <w:rFonts w:ascii="Times New Roman" w:hAnsi="Times New Roman" w:eastAsia="Times New Roman" w:cs="Times New Roman"/>
                <w:b w:val="1"/>
                <w:spacing w:val="-2"/>
                <w:sz w:val="20"/>
                <w:szCs w:val="20"/>
                <w:bCs w:val="1"/>
              </w:rPr>
              <w:t>considerar</w:t>
            </w:r>
          </w:p>
        </w:tc>
        <w:tc>
          <w:tcPr>
            <w:tcW w:w="3634" w:type="dxa"/>
            <w:shd w:val="clear" w:color="auto" w:fill="E7ECF1"/>
            <w:vAlign w:val="center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sz w:val="20"/>
                <w:szCs w:val="20"/>
                <w:bCs w:val="1"/>
              </w:rPr>
              <w:t>Dependências</w:t>
            </w:r>
            <w:r>
              <w:rPr>
                <w:rFonts w:ascii="Times New Roman" w:hAnsi="Times New Roman" w:eastAsia="Times New Roman" w:cs="Times New Roman"/>
                <w:b w:val="1"/>
                <w:spacing w:val="-3"/>
                <w:sz w:val="20"/>
                <w:szCs w:val="20"/>
                <w:bCs w:val="1"/>
              </w:rPr>
              <w:t> </w:t>
            </w:r>
            <w:r>
              <w:rPr>
                <w:rFonts w:ascii="Times New Roman" w:hAnsi="Times New Roman" w:eastAsia="Times New Roman" w:cs="Times New Roman"/>
                <w:b w:val="1"/>
                <w:sz w:val="20"/>
                <w:szCs w:val="20"/>
                <w:bCs w:val="1"/>
              </w:rPr>
              <w:t>a</w:t>
            </w:r>
            <w:r>
              <w:rPr>
                <w:rFonts w:ascii="Times New Roman" w:hAnsi="Times New Roman" w:eastAsia="Times New Roman" w:cs="Times New Roman"/>
                <w:b w:val="1"/>
                <w:spacing w:val="-2"/>
                <w:sz w:val="20"/>
                <w:szCs w:val="20"/>
                <w:bCs w:val="1"/>
              </w:rPr>
              <w:t> confirmar</w:t>
            </w:r>
          </w:p>
        </w:tc>
      </w:tr>
      <w:tr>
        <w:trPr/>
        <w:tc>
          <w:tcPr>
            <w:tcW w:w="2434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Operações</w:t>
            </w: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  <w:szCs w:val="20"/>
              </w:rPr>
              <w:t>voo</w:t>
            </w:r>
          </w:p>
        </w:tc>
        <w:tc>
          <w:tcPr>
            <w:tcW w:w="3574" w:type="dxa"/>
            <w:vAlign w:val="top"/>
          </w:tcPr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Continuidade das operações de voo; risco R04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 (crítico) por falhas dos sistemas legados de controle de voo. Identificar atividades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que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podem</w:t>
            </w:r>
            <w:r>
              <w:rPr>
                <w:rFonts w:ascii="Times New Roman" w:hAnsi="Times New Roman" w:eastAsia="Times New Roman" w:cs="Times New Roman"/>
                <w:spacing w:val="-13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continuar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em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contingência.</w:t>
            </w:r>
          </w:p>
        </w:tc>
        <w:tc>
          <w:tcPr>
            <w:tcW w:w="3634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Responsável: gestão de operações aéreas. Confirmar informações de voo, autorizações, sistemas legados de controle de voo e pessoal habilitado.</w:t>
            </w:r>
          </w:p>
        </w:tc>
      </w:tr>
      <w:tr>
        <w:trPr/>
        <w:tc>
          <w:tcPr>
            <w:tcW w:w="2434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tabs>
                <w:tab w:pos="1638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Sistemas críticos embarcados</w:t>
            </w:r>
          </w:p>
        </w:tc>
        <w:tc>
          <w:tcPr>
            <w:tcW w:w="3574" w:type="dxa"/>
            <w:shd w:val="clear" w:color="auto" w:fill="F7F8F9"/>
            <w:vAlign w:val="top"/>
          </w:tcPr>
          <w:p>
            <w:pPr>
              <w:pStyle w:val="TableParagraph"/>
              <w:keepLines/>
              <w:tabs>
                <w:tab w:pos="1350" w:val="left" w:leader="none"/>
                <w:tab w:pos="2521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Integridade e disponibilidade dos sistemas embarcados; risco R05 (alto), com impacto potencial crítico sobre segurança operacional.</w:t>
            </w:r>
          </w:p>
        </w:tc>
        <w:tc>
          <w:tcPr>
            <w:tcW w:w="3634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Responsáveis: engenharia aeronáutica e manutenção, com suporte autorizado. Confirmar interfaces, condições de isolamento e testes de validação.</w:t>
            </w:r>
          </w:p>
        </w:tc>
      </w:tr>
      <w:tr>
        <w:trPr/>
        <w:tc>
          <w:tcPr>
            <w:tcW w:w="2434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Reservas</w:t>
            </w:r>
            <w:r>
              <w:rPr>
                <w:rFonts w:ascii="Times New Roman" w:hAnsi="Times New Roman" w:eastAsia="Times New Roman" w:cs="Times New Roman"/>
                <w:spacing w:val="32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/</w:t>
            </w:r>
            <w:r>
              <w:rPr>
                <w:rFonts w:ascii="Times New Roman" w:hAnsi="Times New Roman" w:eastAsia="Times New Roman" w:cs="Times New Roman"/>
                <w:spacing w:val="3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emissão</w:t>
            </w:r>
            <w:r>
              <w:rPr>
                <w:rFonts w:ascii="Times New Roman" w:hAnsi="Times New Roman" w:eastAsia="Times New Roman" w:cs="Times New Roman"/>
                <w:spacing w:val="31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de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passagens</w:t>
            </w:r>
          </w:p>
        </w:tc>
        <w:tc>
          <w:tcPr>
            <w:tcW w:w="3574" w:type="dxa"/>
            <w:vAlign w:val="top"/>
          </w:tcPr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Disponibilidade do sistema de reservas sob R01 (crítico); integridade da emissão e legitimidade das transações GDS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sob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R02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(crítico).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Eventos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distintos.</w:t>
            </w:r>
          </w:p>
        </w:tc>
        <w:tc>
          <w:tcPr>
            <w:tcW w:w="3634" w:type="dxa"/>
            <w:vAlign w:val="top"/>
          </w:tcPr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Responsáveis: gestão de reservas e TI. Confirmar ligação com GDS, autenticação, base de dados, conectividade e cópias verificadas.</w:t>
            </w:r>
          </w:p>
        </w:tc>
      </w:tr>
      <w:tr>
        <w:trPr/>
        <w:tc>
          <w:tcPr>
            <w:tcW w:w="2434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Infraestrutura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local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de </w:t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  <w:szCs w:val="20"/>
              </w:rPr>
              <w:t>TI</w:t>
            </w:r>
          </w:p>
        </w:tc>
        <w:tc>
          <w:tcPr>
            <w:tcW w:w="3574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Conjunto dos 50 servidores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locais que dão suporte aos serviços internos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eventualmente</w:t>
            </w:r>
            <w:r>
              <w:rPr>
                <w:rFonts w:ascii="Times New Roman" w:hAnsi="Times New Roman" w:eastAsia="Times New Roman" w:cs="Times New Roman"/>
                <w:spacing w:val="-14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serviços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críticos.</w:t>
            </w:r>
          </w:p>
        </w:tc>
        <w:tc>
          <w:tcPr>
            <w:tcW w:w="3634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Responsável: TI mapear quais servidores e serviços efetivamente sustentam reservas, gerenciamento ou outras funções; não presumir uso idêntico.</w:t>
            </w:r>
          </w:p>
        </w:tc>
      </w:tr>
      <w:tr>
        <w:trPr/>
        <w:tc>
          <w:tcPr>
            <w:tcW w:w="2434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Suporte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 externo</w:t>
            </w:r>
          </w:p>
        </w:tc>
        <w:tc>
          <w:tcPr>
            <w:tcW w:w="3574" w:type="dxa"/>
            <w:vAlign w:val="top"/>
          </w:tcPr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Suporte internacional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de navegação; risco R03 (alto) ligado a acessos de terceiros, que pode anteceder R05, sem duplicar o mesmo dano.</w:t>
            </w:r>
          </w:p>
        </w:tc>
        <w:tc>
          <w:tcPr>
            <w:tcW w:w="3634" w:type="dxa"/>
            <w:vAlign w:val="top"/>
          </w:tcPr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Responsáveis: TI e responsável contratual. Confirmar canais de acionamento, permissões de acesso remoto, dependências técnicas e condições contratuais.</w:t>
            </w:r>
          </w:p>
        </w:tc>
      </w:tr>
    </w:tbl>
    <w:p>
      <w:pPr>
        <w:pStyle w:val="Heading1"/>
        <w:keepNext/>
        <w:keepLines/>
        <w:numPr>
          <w:ilvl w:val="0"/>
          <w:numId w:val="1"/>
        </w:numPr>
        <w:tabs>
          <w:tab w:pos="858" w:val="left" w:leader="none"/>
        </w:tabs>
        <w:spacing w:line="240" w:lineRule="auto" w:before="200" w:after="0"/>
        <w:ind w:left="858" w:right="0" w:hanging="431"/>
        <w:jc w:val="both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Impactos</w:t>
      </w:r>
      <w:r>
        <w:rPr>
          <w:spacing w:val="-1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e</w:t>
      </w:r>
      <w:r>
        <w:rPr>
          <w:spacing w:val="-3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Prioridades</w:t>
      </w:r>
      <w:r>
        <w:rPr>
          <w:spacing w:val="-1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de</w:t>
      </w:r>
      <w:r>
        <w:rPr>
          <w:spacing w:val="-1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</w:t>
      </w: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Recuperação</w:t>
      </w:r>
    </w:p>
    <w:p>
      <w:pPr>
        <w:pStyle w:val="BodyText"/>
        <w:keepNext w:val="0"/>
        <w:keepLines w:val="0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 análise parte dos riscos da PGR: R01, R02 e R04 têm nível crítico; R03 e R05 têm nível alto. A prioridade de recuperação considera segurança operacional, paralisação dos serviços, integridade dos registros e dependências técnicas. Enquanto não houver metas quantitativas aprovadas, a ordem de recuperação permanecerá qualitativa e será validada pela direção e pelos responsáveis técnicos.</w:t>
      </w:r>
    </w:p>
    <w:p>
      <w:pPr>
        <w:pStyle w:val="BodyText"/>
        <w:keepNext w:val="0"/>
        <w:keepLines w:val="0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Ordem de recuperação: (1) conter os efeitos de R04 e R05 sobre a segurança de voo e eventuais consequências de R03; (2) recuperar dependências tecnológicas indispensáveis às operações autorizadas; (3) restabelecer reservas após R01 e conferir emissões ligadas a R02. R02 pode ocorrer sem parada do sistema, exigindo correção e conciliação sem uma restauração tecnológica. A ordem exata poderá mudar conforme o incidente e as dependências identificadas, pois a infraestrutura necessária pode ter de ser restaurada antes do sistema de negócio.</w:t>
      </w:r>
    </w:p>
    <w:p>
      <w:pPr>
        <w:pStyle w:val="BodyText"/>
        <w:keepNext w:val="0"/>
        <w:keepLines w:val="0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Os objetivos de tempo de recuperação (RTO) e de ponto de recuperação (RPO) deverão ser definidos e aprovados em conjunto com as estratégias de continuidade, backup e recuperação. Até essa aprovação, aplicam-se as prioridades qualitativas desta seção. Nenhuma prioridade autoriza a retomada das operações aéreas sem avaliação das funções competentes.</w:t>
      </w:r>
    </w:p>
    <w:p>
      <w:pPr>
        <w:pStyle w:val="BodyText"/>
        <w:keepNext w:val="0"/>
        <w:keepLines w:val="0"/>
        <w:widowControl/>
        <w:spacing w:after="0" w:line="360" w:lineRule="auto" w:before="100"/>
        <w:ind w:left="428" w:right="428" w:firstLine="1132"/>
        <w:jc w:val="both"/>
        <w:sectPr>
          <w:type w:val="continuous"/>
          <w:pgSz w:w="11910" w:h="16840"/>
          <w:pgMar w:header="0" w:footer="538" w:top="1660" w:bottom="760" w:left="1275" w:right="708"/>
        </w:sectPr>
      </w:pPr>
    </w:p>
    <w:tbl>
      <w:tblPr>
        <w:tblW w:w="0" w:type="auto"/>
        <w:jc w:val="left"/>
        <w:tblInd w:w="149" w:type="dxa"/>
        <w:tblLayout w:type="fixed"/>
        <w:tblLook w:val="01E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439"/>
        <w:gridCol w:w="4707"/>
        <w:gridCol w:w="2494"/>
      </w:tblGrid>
      <w:tr>
        <w:trPr/>
        <w:tc>
          <w:tcPr>
            <w:tcW w:w="2439" w:type="dxa"/>
            <w:shd w:val="clear" w:color="auto" w:fill="E7ECF1"/>
            <w:vAlign w:val="center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sz w:val="20"/>
                <w:szCs w:val="20"/>
                <w:bCs w:val="1"/>
              </w:rPr>
              <w:t>Processo</w:t>
            </w:r>
            <w:r>
              <w:rPr>
                <w:rFonts w:ascii="Times New Roman" w:hAnsi="Times New Roman" w:eastAsia="Times New Roman" w:cs="Times New Roman"/>
                <w:b w:val="1"/>
                <w:spacing w:val="-2"/>
                <w:sz w:val="20"/>
                <w:szCs w:val="20"/>
                <w:bCs w:val="1"/>
              </w:rPr>
              <w:t> </w:t>
            </w:r>
            <w:r>
              <w:rPr>
                <w:rFonts w:ascii="Times New Roman" w:hAnsi="Times New Roman" w:eastAsia="Times New Roman" w:cs="Times New Roman"/>
                <w:b w:val="1"/>
                <w:sz w:val="20"/>
                <w:szCs w:val="20"/>
                <w:bCs w:val="1"/>
              </w:rPr>
              <w:t>/</w:t>
            </w:r>
            <w:r>
              <w:rPr>
                <w:rFonts w:ascii="Times New Roman" w:hAnsi="Times New Roman" w:eastAsia="Times New Roman" w:cs="Times New Roman"/>
                <w:b w:val="1"/>
                <w:spacing w:val="-2"/>
                <w:sz w:val="20"/>
                <w:szCs w:val="20"/>
                <w:bCs w:val="1"/>
              </w:rPr>
              <w:t> sistema</w:t>
            </w:r>
          </w:p>
        </w:tc>
        <w:tc>
          <w:tcPr>
            <w:tcW w:w="4707" w:type="dxa"/>
            <w:shd w:val="clear" w:color="auto" w:fill="E7ECF1"/>
            <w:vAlign w:val="center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sz w:val="20"/>
                <w:szCs w:val="20"/>
                <w:bCs w:val="1"/>
              </w:rPr>
              <w:t>Impacto</w:t>
            </w:r>
            <w:r>
              <w:rPr>
                <w:rFonts w:ascii="Times New Roman" w:hAnsi="Times New Roman" w:eastAsia="Times New Roman" w:cs="Times New Roman"/>
                <w:b w:val="1"/>
                <w:spacing w:val="-1"/>
                <w:sz w:val="20"/>
                <w:szCs w:val="20"/>
                <w:bCs w:val="1"/>
              </w:rPr>
              <w:t> </w:t>
            </w:r>
            <w:r>
              <w:rPr>
                <w:rFonts w:ascii="Times New Roman" w:hAnsi="Times New Roman" w:eastAsia="Times New Roman" w:cs="Times New Roman"/>
                <w:b w:val="1"/>
                <w:sz w:val="20"/>
                <w:szCs w:val="20"/>
                <w:bCs w:val="1"/>
              </w:rPr>
              <w:t>potencial</w:t>
            </w:r>
            <w:r>
              <w:rPr>
                <w:rFonts w:ascii="Times New Roman" w:hAnsi="Times New Roman" w:eastAsia="Times New Roman" w:cs="Times New Roman"/>
                <w:b w:val="1"/>
                <w:spacing w:val="-1"/>
                <w:sz w:val="20"/>
                <w:szCs w:val="20"/>
                <w:bCs w:val="1"/>
              </w:rPr>
              <w:t> </w:t>
            </w:r>
            <w:r>
              <w:rPr>
                <w:rFonts w:ascii="Times New Roman" w:hAnsi="Times New Roman" w:eastAsia="Times New Roman" w:cs="Times New Roman"/>
                <w:b w:val="1"/>
                <w:sz w:val="20"/>
                <w:szCs w:val="20"/>
                <w:bCs w:val="1"/>
              </w:rPr>
              <w:t>a</w:t>
            </w:r>
            <w:r>
              <w:rPr>
                <w:rFonts w:ascii="Times New Roman" w:hAnsi="Times New Roman" w:eastAsia="Times New Roman" w:cs="Times New Roman"/>
                <w:b w:val="1"/>
                <w:spacing w:val="-1"/>
                <w:sz w:val="20"/>
                <w:szCs w:val="20"/>
                <w:bCs w:val="1"/>
              </w:rPr>
              <w:t> </w:t>
            </w:r>
            <w:r>
              <w:rPr>
                <w:rFonts w:ascii="Times New Roman" w:hAnsi="Times New Roman" w:eastAsia="Times New Roman" w:cs="Times New Roman"/>
                <w:b w:val="1"/>
                <w:spacing w:val="-2"/>
                <w:sz w:val="20"/>
                <w:szCs w:val="20"/>
                <w:bCs w:val="1"/>
              </w:rPr>
              <w:t>analisar</w:t>
            </w:r>
          </w:p>
        </w:tc>
        <w:tc>
          <w:tcPr>
            <w:tcW w:w="2494" w:type="dxa"/>
            <w:shd w:val="clear" w:color="auto" w:fill="E7ECF1"/>
            <w:vAlign w:val="center"/>
          </w:tcPr>
          <w:p>
            <w:pPr>
              <w:pStyle w:val="TableParagraph"/>
              <w:keepLines/>
              <w:tabs>
                <w:tab w:pos="2333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sz w:val="20"/>
                <w:szCs w:val="20"/>
                <w:bCs w:val="1"/>
              </w:rPr>
              <w:t>Criticidade / prioridade</w:t>
            </w:r>
          </w:p>
        </w:tc>
      </w:tr>
      <w:tr>
        <w:trPr/>
        <w:tc>
          <w:tcPr>
            <w:tcW w:w="2439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Operações</w:t>
            </w: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  <w:szCs w:val="20"/>
              </w:rPr>
              <w:t>voo</w:t>
            </w:r>
          </w:p>
        </w:tc>
        <w:tc>
          <w:tcPr>
            <w:tcW w:w="4707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R04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—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falha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legados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controle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de voo: probabilidade média, impacto crítico e nível crítico na PGR. Pode comprometer o suporte ao voo.</w:t>
            </w:r>
          </w:p>
        </w:tc>
        <w:tc>
          <w:tcPr>
            <w:tcW w:w="2494" w:type="dxa"/>
            <w:vAlign w:val="top"/>
          </w:tcPr>
          <w:p>
            <w:pPr>
              <w:pStyle w:val="TableParagraph"/>
              <w:keepLines/>
              <w:tabs>
                <w:tab w:pos="2293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Crítica / prioridade máxima para avaliação de segurança e decisão sobre continuidade; recuperação conforme dependências e autorização.</w:t>
            </w:r>
          </w:p>
        </w:tc>
      </w:tr>
      <w:tr>
        <w:trPr/>
        <w:tc>
          <w:tcPr>
            <w:tcW w:w="2439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embarcados</w:t>
            </w:r>
          </w:p>
        </w:tc>
        <w:tc>
          <w:tcPr>
            <w:tcW w:w="4707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R05 — sistema embarcado: probabilidade baixa,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impacto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crítico,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nível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alto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na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PGR.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Exige contenção e liberação por equipe competente.</w:t>
            </w:r>
          </w:p>
        </w:tc>
        <w:tc>
          <w:tcPr>
            <w:tcW w:w="2494" w:type="dxa"/>
            <w:shd w:val="clear" w:color="auto" w:fill="F7F8F9"/>
            <w:vAlign w:val="top"/>
          </w:tcPr>
          <w:p>
            <w:pPr>
              <w:pStyle w:val="TableParagraph"/>
              <w:keepLines/>
              <w:tabs>
                <w:tab w:pos="1520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Crítica / prioridade máxima para contenção e validação técnica; não utilizar sistema suspeito até liberação competente.</w:t>
            </w:r>
          </w:p>
        </w:tc>
      </w:tr>
      <w:tr>
        <w:trPr/>
        <w:tc>
          <w:tcPr>
            <w:tcW w:w="2439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Reservas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/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 emissão</w:t>
            </w:r>
          </w:p>
        </w:tc>
        <w:tc>
          <w:tcPr>
            <w:tcW w:w="4707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R01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—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DDoS: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probabilidade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alta,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impacto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alto, risco crítico, com indisponibilidade.</w:t>
            </w: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R02 — fraude GDS: probabilidade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alta, impacto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alto,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risco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crítico,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podendo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ocorrer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sem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interrupção.</w:t>
            </w:r>
          </w:p>
        </w:tc>
        <w:tc>
          <w:tcPr>
            <w:tcW w:w="2494" w:type="dxa"/>
            <w:vAlign w:val="top"/>
          </w:tcPr>
          <w:p>
            <w:pPr>
              <w:pStyle w:val="TableParagraph"/>
              <w:keepLines/>
              <w:tabs>
                <w:tab w:pos="1155" w:val="left" w:leader="none"/>
                <w:tab w:pos="1441" w:val="left" w:leader="none"/>
                <w:tab w:pos="1493" w:val="left" w:leader="none"/>
                <w:tab w:pos="1640" w:val="left" w:leader="none"/>
                <w:tab w:pos="2293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Alta / prioridade após assegurar segurança operacional e dependências essenciais; recuperar serviço e conferir registros.</w:t>
            </w:r>
          </w:p>
        </w:tc>
      </w:tr>
      <w:tr>
        <w:trPr/>
        <w:tc>
          <w:tcPr>
            <w:tcW w:w="2439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Infraestrutura</w:t>
            </w:r>
            <w:r>
              <w:rPr>
                <w:rFonts w:ascii="Times New Roman" w:hAnsi="Times New Roman" w:eastAsia="Times New Roman" w:cs="Times New Roman"/>
                <w:spacing w:val="-8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  <w:szCs w:val="20"/>
              </w:rPr>
              <w:t>local</w:t>
            </w:r>
          </w:p>
        </w:tc>
        <w:tc>
          <w:tcPr>
            <w:tcW w:w="4707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Falha da infraestrutura pode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prejudicar processos ligados a R01–R05, conforme dependência confirmada. Não há risco independente para servidores na PGR.</w:t>
            </w:r>
          </w:p>
        </w:tc>
        <w:tc>
          <w:tcPr>
            <w:tcW w:w="2494" w:type="dxa"/>
            <w:shd w:val="clear" w:color="auto" w:fill="F7F8F9"/>
            <w:vAlign w:val="top"/>
          </w:tcPr>
          <w:p>
            <w:pPr>
              <w:pStyle w:val="TableParagraph"/>
              <w:keepLines/>
              <w:tabs>
                <w:tab w:pos="1654" w:val="left" w:leader="none"/>
                <w:tab w:pos="2188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Variável: crítica quando sustenta funções prioritárias; recuperar primeiro os componentes dos quais outros serviços dependam.</w:t>
            </w:r>
          </w:p>
        </w:tc>
      </w:tr>
    </w:tbl>
    <w:p>
      <w:pPr>
        <w:pStyle w:val="TableParagraph"/>
        <w:keepNext w:val="0"/>
        <w:keepLines w:val="0"/>
        <w:widowControl/>
        <w:spacing w:after="0" w:line="360" w:lineRule="auto" w:before="100"/>
        <w:ind w:left="428" w:right="428" w:firstLine="1132"/>
        <w:jc w:val="both"/>
        <w:rPr>
          <w:sz w:val="24"/>
        </w:rPr>
        <w:sectPr>
          <w:pgSz w:w="11910" w:h="16840"/>
          <w:pgMar w:header="0" w:footer="538" w:top="1660" w:bottom="760" w:left="1275" w:right="708"/>
        </w:sectPr>
      </w:pPr>
    </w:p>
    <w:p>
      <w:pPr>
        <w:pStyle w:val="Heading1"/>
        <w:keepNext/>
        <w:keepLines/>
        <w:numPr>
          <w:ilvl w:val="0"/>
          <w:numId w:val="1"/>
        </w:numPr>
        <w:tabs>
          <w:tab w:pos="858" w:val="left" w:leader="none"/>
        </w:tabs>
        <w:spacing w:line="240" w:lineRule="auto" w:before="200" w:after="0"/>
        <w:ind w:left="858" w:right="0" w:hanging="431"/>
        <w:jc w:val="both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Estratégias</w:t>
      </w: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de</w:t>
      </w: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Continuidade</w:t>
      </w:r>
    </w:p>
    <w:p>
      <w:pPr>
        <w:pStyle w:val="BodyText"/>
        <w:keepNext w:val="0"/>
        <w:keepLines w:val="0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As estratégias definidas buscam manter as atividades essenciais ou recuperar os serviços com segurança, considerando as prioridades da seção 3 e os riscos R01–R05 da PGR. A equipe interna de TI, os 50 servidores locais e o suporte internacional ao software de navegação integram o planejamento. As cópias offline, a proteção contra DDoS, os canais alternativos e os procedimentos de contingência devem ser implantados, mantidos e testados antes de serem considerados disponíveis para acionamento.</w:t>
      </w:r>
    </w:p>
    <w:p>
      <w:pPr>
        <w:pStyle w:val="BodyText"/>
        <w:keepNext w:val="0"/>
        <w:keepLines w:val="0"/>
        <w:widowControl/>
        <w:spacing w:before="100" w:after="0" w:line="360" w:lineRule="auto"/>
        <w:ind w:left="428" w:right="428" w:firstLine="1132"/>
        <w:jc w:val="both"/>
        <w:rPr>
          <w:sz w:val="8"/>
        </w:rPr>
      </w:pPr>
    </w:p>
    <w:tbl>
      <w:tblPr>
        <w:tblW w:w="0" w:type="auto"/>
        <w:jc w:val="left"/>
        <w:tblInd w:w="137" w:type="dxa"/>
        <w:tblLayout w:type="fixed"/>
        <w:tblLook w:val="01E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696"/>
        <w:gridCol w:w="3841"/>
        <w:gridCol w:w="3126"/>
      </w:tblGrid>
      <w:tr>
        <w:trPr/>
        <w:tc>
          <w:tcPr>
            <w:tcW w:w="2696" w:type="dxa"/>
            <w:shd w:val="clear" w:color="auto" w:fill="E7ECF1"/>
            <w:vAlign w:val="center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sz w:val="20"/>
                <w:szCs w:val="20"/>
                <w:bCs w:val="1"/>
              </w:rPr>
              <w:t>Estratégia</w:t>
            </w:r>
          </w:p>
        </w:tc>
        <w:tc>
          <w:tcPr>
            <w:tcW w:w="3841" w:type="dxa"/>
            <w:shd w:val="clear" w:color="auto" w:fill="E7ECF1"/>
            <w:vAlign w:val="center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sz w:val="20"/>
                <w:szCs w:val="20"/>
                <w:bCs w:val="1"/>
              </w:rPr>
              <w:t>Aplicação</w:t>
            </w:r>
            <w:r>
              <w:rPr>
                <w:rFonts w:ascii="Times New Roman" w:hAnsi="Times New Roman" w:eastAsia="Times New Roman" w:cs="Times New Roman"/>
                <w:b w:val="1"/>
                <w:spacing w:val="-4"/>
                <w:sz w:val="20"/>
                <w:szCs w:val="20"/>
                <w:bCs w:val="1"/>
              </w:rPr>
              <w:t> </w:t>
            </w:r>
            <w:r>
              <w:rPr>
                <w:rFonts w:ascii="Times New Roman" w:hAnsi="Times New Roman" w:eastAsia="Times New Roman" w:cs="Times New Roman"/>
                <w:b w:val="1"/>
                <w:spacing w:val="-2"/>
                <w:sz w:val="20"/>
                <w:szCs w:val="20"/>
                <w:bCs w:val="1"/>
              </w:rPr>
              <w:t>inicial</w:t>
            </w:r>
          </w:p>
        </w:tc>
        <w:tc>
          <w:tcPr>
            <w:tcW w:w="3126" w:type="dxa"/>
            <w:shd w:val="clear" w:color="auto" w:fill="E7ECF1"/>
            <w:vAlign w:val="center"/>
          </w:tcPr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sz w:val="20"/>
                <w:szCs w:val="20"/>
                <w:bCs w:val="1"/>
              </w:rPr>
              <w:t>Recursos, responsáveis e limitações</w:t>
            </w:r>
          </w:p>
        </w:tc>
      </w:tr>
      <w:tr>
        <w:trPr/>
        <w:tc>
          <w:tcPr>
            <w:tcW w:w="2696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tabs>
                <w:tab w:pos="1309" w:val="left" w:leader="none"/>
                <w:tab w:pos="2499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Cópias offline e restauração testada</w:t>
            </w:r>
          </w:p>
        </w:tc>
        <w:tc>
          <w:tcPr>
            <w:tcW w:w="3841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Recuperar dados das reservas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quando a integridade ou disponibilidade das cópias operacionais for afetada.</w:t>
            </w:r>
          </w:p>
        </w:tc>
        <w:tc>
          <w:tcPr>
            <w:tcW w:w="3126" w:type="dxa"/>
            <w:vAlign w:val="top"/>
          </w:tcPr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Frequência: cópia incremental diária e cópia completa semanal. Manter ao menos uma cópia offline desconectada da rede, com acesso restrito e proteção adequada. Testar a restauração trimestralmente em ambiente separado. Responsáveis: TI e gestão de reservas. Limite: o backup não elimina um ataque DDoS e só deve ser restaurado após verificar a integridade.</w:t>
            </w:r>
          </w:p>
        </w:tc>
      </w:tr>
      <w:tr>
        <w:trPr/>
        <w:tc>
          <w:tcPr>
            <w:tcW w:w="2696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tabs>
                <w:tab w:pos="2378" w:val="left" w:leader="none"/>
              </w:tabs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Tratamento da indisponibilidade por DDoS</w:t>
            </w:r>
          </w:p>
        </w:tc>
        <w:tc>
          <w:tcPr>
            <w:tcW w:w="3841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Manter ou recuperar acesso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às reservas com suporte técnico e estratégia compatível com a ameaça.</w:t>
            </w:r>
          </w:p>
        </w:tc>
        <w:tc>
          <w:tcPr>
            <w:tcW w:w="3126" w:type="dxa"/>
            <w:shd w:val="clear" w:color="auto" w:fill="F7F8F9"/>
            <w:vAlign w:val="top"/>
          </w:tcPr>
          <w:p>
            <w:pPr>
              <w:pStyle w:val="TableParagraph"/>
              <w:keepLines/>
              <w:tabs>
                <w:tab w:pos="1678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Meios: proteção anti-DDoS e filtragem de tráfego com o provedor ou serviço especializado, monitoramento e canal alternativo para orientar o atendimento. Responsáveis: TI, provedor e gestão de reservas. Limite: a mitigação depende da capacidade contratada e não garante que não haverá indisponibilidade; backup sozinho não bloqueia o ataque.</w:t>
            </w:r>
          </w:p>
        </w:tc>
      </w:tr>
      <w:tr>
        <w:trPr/>
        <w:tc>
          <w:tcPr>
            <w:tcW w:w="2696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tabs>
                <w:tab w:pos="2190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Alternativa durante falha de sistemas legados de controle de voo</w:t>
            </w:r>
          </w:p>
        </w:tc>
        <w:tc>
          <w:tcPr>
            <w:tcW w:w="3841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Preservar as atividades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possíveis durante indisponibilidade dos sistemas legados de controle de voo.</w:t>
            </w:r>
          </w:p>
        </w:tc>
        <w:tc>
          <w:tcPr>
            <w:tcW w:w="3126" w:type="dxa"/>
            <w:vAlign w:val="top"/>
          </w:tcPr>
          <w:p>
            <w:pPr>
              <w:pStyle w:val="TableParagraph"/>
              <w:keepLines/>
              <w:tabs>
                <w:tab w:pos="2125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Definir procedimento de contingência aprovado pela gestão de operações, com participação das funções técnicas pertinentes. Só continuar as atividades autorizadas quando as informações operacionais estiverem atuais, íntegras e verificadas, com comunicação e autorizações necessárias. Recurso: procedimento documentado e canal alternativo validado. Limite: não realizar atividade que dependa de informação essencial indisponível ou duvidosa.</w:t>
            </w:r>
          </w:p>
        </w:tc>
      </w:tr>
      <w:tr>
        <w:trPr/>
        <w:tc>
          <w:tcPr>
            <w:tcW w:w="2696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tabs>
                <w:tab w:pos="1405" w:val="left" w:leader="none"/>
                <w:tab w:pos="2376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Contenção técnica de comprometimento</w:t>
            </w:r>
          </w:p>
        </w:tc>
        <w:tc>
          <w:tcPr>
            <w:tcW w:w="3841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tabs>
                <w:tab w:pos="1621" w:val="left" w:leader="none"/>
                <w:tab w:pos="3333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Restringir o comprometimento e recuperar integridade com participação das equipes competentes.</w:t>
            </w:r>
          </w:p>
        </w:tc>
        <w:tc>
          <w:tcPr>
            <w:tcW w:w="3126" w:type="dxa"/>
            <w:shd w:val="clear" w:color="auto" w:fill="F7F8F9"/>
            <w:vAlign w:val="top"/>
          </w:tcPr>
          <w:p>
            <w:pPr>
              <w:pStyle w:val="TableParagraph"/>
              <w:keepLines/>
              <w:tabs>
                <w:tab w:pos="2165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Acionar diante de indício confiável de acesso não autorizado, alteração inesperada ou perda de integridade. TI e funções técnicas/operacionais devem restringir o acesso ou isolar o componente apenas conforme procedimento autorizado, preservar evidências e recuperar por método aprovado. Liberar somente após testes e aprovação competente. Se envolver fornecedor, coordenar também com C03/R03. Limite: não improvisar ações que possam afetar a segurança operacional.</w:t>
            </w:r>
          </w:p>
        </w:tc>
      </w:tr>
      <w:tr>
        <w:trPr/>
        <w:tc>
          <w:tcPr>
            <w:tcW w:w="2696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Comunicação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alternativa</w:t>
            </w:r>
          </w:p>
        </w:tc>
        <w:tc>
          <w:tcPr>
            <w:tcW w:w="3841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Manter</w:t>
            </w:r>
            <w:r>
              <w:rPr>
                <w:rFonts w:ascii="Times New Roman" w:hAnsi="Times New Roman" w:eastAsia="Times New Roman" w:cs="Times New Roman"/>
                <w:spacing w:val="34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coordenação</w:t>
            </w:r>
            <w:r>
              <w:rPr>
                <w:rFonts w:ascii="Times New Roman" w:hAnsi="Times New Roman" w:eastAsia="Times New Roman" w:cs="Times New Roman"/>
                <w:spacing w:val="3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quando</w:t>
            </w:r>
            <w:r>
              <w:rPr>
                <w:rFonts w:ascii="Times New Roman" w:hAnsi="Times New Roman" w:eastAsia="Times New Roman" w:cs="Times New Roman"/>
                <w:spacing w:val="3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3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canal principal falhar.</w:t>
            </w:r>
          </w:p>
        </w:tc>
        <w:tc>
          <w:tcPr>
            <w:tcW w:w="3126" w:type="dxa"/>
            <w:vAlign w:val="top"/>
          </w:tcPr>
          <w:p>
            <w:pPr>
              <w:pStyle w:val="TableParagraph"/>
              <w:keepLines/>
              <w:tabs>
                <w:tab w:pos="1723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Manter canal corporativo principal e definir um canal alternativo independente e aprovado, com lista de contatos atualizada e acesso restrito. Responsáveis: coordenação do PCN, TI e função de comunicação. Testar o canal periodicamente e registrar o resultado. Limite: não compartilhar informações sensíveis em meios não autorizados; a lista de contatos e canais deve permanecer atualizada e disponível à Coordenação do PCN.</w:t>
            </w:r>
          </w:p>
        </w:tc>
      </w:tr>
    </w:tbl>
    <w:p>
      <w:pPr>
        <w:pStyle w:val="BodyText"/>
        <w:keepNext w:val="0"/>
        <w:keepLines w:val="0"/>
        <w:widowControl/>
        <w:spacing w:before="100" w:after="0" w:line="360" w:lineRule="auto"/>
        <w:ind w:left="428" w:right="428" w:firstLine="1132"/>
        <w:jc w:val="both"/>
      </w:pPr>
    </w:p>
    <w:p>
      <w:pPr>
        <w:pStyle w:val="BodyText"/>
        <w:keepNext w:val="0"/>
        <w:keepLines w:val="0"/>
        <w:widowControl/>
        <w:spacing w:before="100" w:after="0" w:line="360" w:lineRule="auto"/>
        <w:ind w:left="428" w:right="428" w:firstLine="1132"/>
        <w:jc w:val="both"/>
      </w:pPr>
    </w:p>
    <w:p>
      <w:pPr>
        <w:pStyle w:val="Heading1"/>
        <w:keepNext/>
        <w:keepLines/>
        <w:numPr>
          <w:ilvl w:val="1"/>
          <w:numId w:val="1"/>
        </w:numPr>
        <w:tabs>
          <w:tab w:pos="1002" w:val="left" w:leader="none"/>
        </w:tabs>
        <w:spacing w:line="240" w:lineRule="auto" w:before="200" w:after="0"/>
        <w:ind w:left="858" w:right="0" w:hanging="431"/>
        <w:jc w:val="both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Continuidade operacional durante falha de sistemas legados de controle de voo</w:t>
      </w: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/>
      </w:r>
      <w:r>
        <w:rPr>
          <w:spacing w:val="-1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/>
      </w:r>
      <w:r>
        <w:rPr>
          <w:spacing w:val="-1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/>
      </w:r>
      <w:r>
        <w:rPr>
          <w:spacing w:val="-1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/>
      </w: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/>
      </w:r>
    </w:p>
    <w:p>
      <w:pPr>
        <w:pStyle w:val="BodyText"/>
        <w:keepNext w:val="0"/>
        <w:keepLines w:val="0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 recuperação por backup não resolve todo incidente: a restauração de uma cópia não elimina, por si só, um ataque DDoS ainda ativo. Por isso, a resposta deve combinar a mitigação da indisponibilidade com a recuperação dos dados, quando necessária.</w:t>
      </w:r>
    </w:p>
    <w:p>
      <w:pPr>
        <w:pStyle w:val="BodyText"/>
        <w:keepNext w:val="0"/>
        <w:keepLines w:val="0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Continuidade dos voos durante falha de sistemas legados de controle de voo: antes de utilizar uma alternativa, devem estar identificadas as informações e autorizações indispensáveis, as atividades que podem continuar e aquelas que devem aguardar a recuperação. A decisão cabe às funções operacionais competentes; procedimentos manuais, por si só, não autorizam a realização de voos.</w:t>
      </w:r>
    </w:p>
    <w:p>
      <w:pPr>
        <w:pStyle w:val="BodyText"/>
        <w:keepNext w:val="0"/>
        <w:keepLines w:val="0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R04 — sistemas legados de controle de voo: a continuidade deve considerar as dependências entre os sistemas legados de controle de voo e os demais sistemas. Essas relações devem ser registradas no inventário de dependências; não se presume que uma falha no sistema legado cause automaticamente indisponibilidade das reservas.</w:t>
      </w:r>
    </w:p>
    <w:p>
      <w:pPr>
        <w:pStyle w:val="BodyText"/>
        <w:keepNext w:val="0"/>
        <w:keepLines w:val="0"/>
        <w:widowControl/>
        <w:spacing w:after="0" w:line="360" w:lineRule="auto" w:before="100"/>
        <w:ind w:left="428" w:right="428" w:firstLine="1132"/>
        <w:jc w:val="both"/>
        <w:sectPr>
          <w:pgSz w:w="11910" w:h="16840"/>
          <w:pgMar w:header="0" w:footer="538" w:top="1660" w:bottom="760" w:left="1275" w:right="708"/>
        </w:sectPr>
      </w:pPr>
    </w:p>
    <w:p>
      <w:pPr>
        <w:pStyle w:val="BodyText"/>
        <w:keepNext w:val="0"/>
        <w:keepLines w:val="0"/>
        <w:widowControl/>
        <w:spacing w:before="100" w:after="0" w:line="360" w:lineRule="auto"/>
        <w:ind w:left="428" w:right="428" w:firstLine="1132"/>
        <w:jc w:val="both"/>
        <w:rPr>
          <w:sz w:val="8"/>
        </w:rPr>
      </w:pPr>
    </w:p>
    <w:tbl>
      <w:tblPr>
        <w:tblW w:w="0" w:type="auto"/>
        <w:jc w:val="left"/>
        <w:tblInd w:w="149" w:type="dxa"/>
        <w:tblLayout w:type="fixed"/>
        <w:tblLook w:val="01E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517"/>
        <w:gridCol w:w="6124"/>
      </w:tblGrid>
      <w:tr>
        <w:trPr/>
        <w:tc>
          <w:tcPr>
            <w:tcW w:w="3517" w:type="dxa"/>
            <w:shd w:val="clear" w:color="auto" w:fill="E7ECF1"/>
            <w:vAlign w:val="center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sz w:val="20"/>
                <w:szCs w:val="20"/>
                <w:bCs w:val="1"/>
              </w:rPr>
              <w:t>Decisão</w:t>
            </w:r>
            <w:r>
              <w:rPr>
                <w:rFonts w:ascii="Times New Roman" w:hAnsi="Times New Roman" w:eastAsia="Times New Roman" w:cs="Times New Roman"/>
                <w:b w:val="1"/>
                <w:spacing w:val="-1"/>
                <w:sz w:val="20"/>
                <w:szCs w:val="20"/>
                <w:bCs w:val="1"/>
              </w:rPr>
              <w:t> </w:t>
            </w:r>
            <w:r>
              <w:rPr>
                <w:rFonts w:ascii="Times New Roman" w:hAnsi="Times New Roman" w:eastAsia="Times New Roman" w:cs="Times New Roman"/>
                <w:b w:val="1"/>
                <w:sz w:val="20"/>
                <w:szCs w:val="20"/>
                <w:bCs w:val="1"/>
              </w:rPr>
              <w:t>operacional</w:t>
            </w:r>
            <w:r>
              <w:rPr>
                <w:rFonts w:ascii="Times New Roman" w:hAnsi="Times New Roman" w:eastAsia="Times New Roman" w:cs="Times New Roman"/>
                <w:b w:val="1"/>
                <w:spacing w:val="-1"/>
                <w:sz w:val="20"/>
                <w:szCs w:val="20"/>
                <w:bCs w:val="1"/>
              </w:rPr>
              <w:t> </w:t>
            </w:r>
            <w:r>
              <w:rPr>
                <w:rFonts w:ascii="Times New Roman" w:hAnsi="Times New Roman" w:eastAsia="Times New Roman" w:cs="Times New Roman"/>
                <w:b w:val="1"/>
                <w:sz w:val="20"/>
                <w:szCs w:val="20"/>
                <w:bCs w:val="1"/>
              </w:rPr>
              <w:t>/</w:t>
            </w:r>
            <w:r>
              <w:rPr>
                <w:rFonts w:ascii="Times New Roman" w:hAnsi="Times New Roman" w:eastAsia="Times New Roman" w:cs="Times New Roman"/>
                <w:b w:val="1"/>
                <w:spacing w:val="-1"/>
                <w:sz w:val="20"/>
                <w:szCs w:val="20"/>
                <w:bCs w:val="1"/>
              </w:rPr>
              <w:t> </w:t>
            </w:r>
            <w:r>
              <w:rPr>
                <w:rFonts w:ascii="Times New Roman" w:hAnsi="Times New Roman" w:eastAsia="Times New Roman" w:cs="Times New Roman"/>
                <w:b w:val="1"/>
                <w:spacing w:val="-2"/>
                <w:sz w:val="20"/>
                <w:szCs w:val="20"/>
                <w:bCs w:val="1"/>
              </w:rPr>
              <w:t>técnica</w:t>
            </w:r>
          </w:p>
        </w:tc>
        <w:tc>
          <w:tcPr>
            <w:tcW w:w="6124" w:type="dxa"/>
            <w:shd w:val="clear" w:color="auto" w:fill="E7ECF1"/>
            <w:vAlign w:val="center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sz w:val="20"/>
                <w:szCs w:val="20"/>
                <w:bCs w:val="1"/>
              </w:rPr>
              <w:t>Decisão</w:t>
            </w:r>
          </w:p>
        </w:tc>
      </w:tr>
      <w:tr>
        <w:trPr/>
        <w:tc>
          <w:tcPr>
            <w:tcW w:w="3517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Atividade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mínima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preservar</w:t>
            </w:r>
          </w:p>
        </w:tc>
        <w:tc>
          <w:tcPr>
            <w:tcW w:w="6124" w:type="dxa"/>
            <w:vAlign w:val="top"/>
          </w:tcPr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Preservar a continuidade das atividades de voo que estejam autorizadas e possam ser realizadas com segurança.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As informações operacionais essenciais devem estar atuais, íntegras e verificadas; a decisão cabe às funções operacionais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competentes.</w:t>
            </w:r>
          </w:p>
        </w:tc>
      </w:tr>
      <w:tr>
        <w:trPr/>
        <w:tc>
          <w:tcPr>
            <w:tcW w:w="3517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Condição</w:t>
            </w: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para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usar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alternativa</w:t>
            </w:r>
          </w:p>
        </w:tc>
        <w:tc>
          <w:tcPr>
            <w:tcW w:w="6124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Usar a alternativa somente após avaliação técnica da TI e aprovação da autoridade operacional competente. Suspender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as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atividades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que</w:t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dependam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dados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ausentes,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desatualizados,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inconsistentes ou cuja integridade esteja sob suspeita.</w:t>
            </w:r>
          </w:p>
        </w:tc>
      </w:tr>
      <w:tr>
        <w:trPr/>
        <w:tc>
          <w:tcPr>
            <w:tcW w:w="3517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Recurso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necessário e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sua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situação</w:t>
            </w:r>
          </w:p>
        </w:tc>
        <w:tc>
          <w:tcPr>
            <w:tcW w:w="6124" w:type="dxa"/>
            <w:vAlign w:val="top"/>
          </w:tcPr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Recurso: procedimento de contingência aprovado, informações operacionais confiáveis e canal alternativo validado. A Coordenação do PCN deve verificar periodicamente a disponibilidade dos recursos, os responsáveis e as condições de uso.</w:t>
            </w:r>
          </w:p>
        </w:tc>
      </w:tr>
      <w:tr>
        <w:trPr/>
        <w:tc>
          <w:tcPr>
            <w:tcW w:w="3517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tabs>
                <w:tab w:pos="1100" w:val="left" w:leader="none"/>
                <w:tab w:pos="1779" w:val="left" w:leader="none"/>
                <w:tab w:pos="3179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Critério para interromper ou retomar</w:t>
            </w:r>
          </w:p>
        </w:tc>
        <w:tc>
          <w:tcPr>
            <w:tcW w:w="6124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Interromper a alternativa se faltar informação essencial, houver suspeita de comprometimento, falhar a comunicação necessária ou a função técnica/operacional não autorizar a continuidade. Retomar apenas depois de controlar a causa, validar os recursos e obter liberação formal.</w:t>
            </w:r>
          </w:p>
        </w:tc>
      </w:tr>
      <w:tr>
        <w:trPr/>
        <w:tc>
          <w:tcPr>
            <w:tcW w:w="3517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Retorno ao funcionamento normal dos sistemas legados de controle de voo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/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/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/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/>
            </w:r>
          </w:p>
        </w:tc>
        <w:tc>
          <w:tcPr>
            <w:tcW w:w="6124" w:type="dxa"/>
            <w:vAlign w:val="top"/>
          </w:tcPr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Restabelecer o funcionamento normal dos sistemas legados de controle de voo após testá-los,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/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/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/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 conferir a integridade das informações, reconciliar registros e pendências</w:t>
            </w:r>
            <w:r>
              <w:rPr>
                <w:rFonts w:ascii="Times New Roman" w:hAnsi="Times New Roman" w:eastAsia="Times New Roman" w:cs="Times New Roman"/>
                <w:spacing w:val="-7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produzidos</w:t>
            </w:r>
            <w:r>
              <w:rPr>
                <w:rFonts w:ascii="Times New Roman" w:hAnsi="Times New Roman" w:eastAsia="Times New Roman" w:cs="Times New Roman"/>
                <w:spacing w:val="-7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durante</w:t>
            </w:r>
            <w:r>
              <w:rPr>
                <w:rFonts w:ascii="Times New Roman" w:hAnsi="Times New Roman" w:eastAsia="Times New Roman" w:cs="Times New Roman"/>
                <w:spacing w:val="-7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8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contingência</w:t>
            </w:r>
            <w:r>
              <w:rPr>
                <w:rFonts w:ascii="Times New Roman" w:hAnsi="Times New Roman" w:eastAsia="Times New Roman" w:cs="Times New Roman"/>
                <w:spacing w:val="-7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8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documentar</w:t>
            </w:r>
            <w:r>
              <w:rPr>
                <w:rFonts w:ascii="Times New Roman" w:hAnsi="Times New Roman" w:eastAsia="Times New Roman" w:cs="Times New Roman"/>
                <w:spacing w:val="-7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 autorização de retorno, o horário e os responsáveis.</w:t>
            </w:r>
          </w:p>
        </w:tc>
      </w:tr>
    </w:tbl>
    <w:p>
      <w:pPr>
        <w:pStyle w:val="BodyText"/>
        <w:keepNext w:val="0"/>
        <w:keepLines w:val="0"/>
        <w:widowControl/>
        <w:spacing w:before="100" w:after="0" w:line="360" w:lineRule="auto"/>
        <w:ind w:left="428" w:right="428" w:firstLine="1132"/>
        <w:jc w:val="both"/>
      </w:pPr>
    </w:p>
    <w:p>
      <w:pPr>
        <w:pStyle w:val="BodyText"/>
        <w:keepNext w:val="0"/>
        <w:keepLines w:val="0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As estratégias devem permanecer alinhadas à PSI e à PGR. O controle de acesso, a comunicação de incidentes e a proteção das cópias devem seguir a PSI, e os tratamentos de R03, R04 e R05 devem permanecer coerentes com a PGR. A Coordenação do PCN deve confirmar recursos, responsáveis, fornecedores, canais e frequências. A restauração de cópias somente poderá ocorrer após a contenção da causa e a verificação da integridade dos dados.</w:t>
      </w:r>
    </w:p>
    <w:p>
      <w:pPr>
        <w:pStyle w:val="BodyText"/>
        <w:keepNext w:val="0"/>
        <w:keepLines w:val="0"/>
        <w:widowControl/>
        <w:spacing w:after="0" w:line="360" w:lineRule="auto" w:before="100"/>
        <w:ind w:left="428" w:right="428" w:firstLine="1132"/>
        <w:jc w:val="both"/>
        <w:sectPr>
          <w:pgSz w:w="11910" w:h="16840"/>
          <w:pgMar w:header="0" w:footer="538" w:top="1620" w:bottom="760" w:left="1275" w:right="708"/>
        </w:sectPr>
      </w:pPr>
    </w:p>
    <w:p>
      <w:pPr>
        <w:pStyle w:val="Heading1"/>
        <w:keepNext/>
        <w:keepLines/>
        <w:numPr>
          <w:ilvl w:val="0"/>
          <w:numId w:val="1"/>
        </w:numPr>
        <w:tabs>
          <w:tab w:pos="858" w:val="left" w:leader="none"/>
        </w:tabs>
        <w:spacing w:line="240" w:lineRule="auto" w:before="200" w:after="0"/>
        <w:ind w:left="858" w:right="0" w:hanging="431"/>
        <w:jc w:val="both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Cenários</w:t>
      </w: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de</w:t>
      </w:r>
      <w:r>
        <w:rPr>
          <w:spacing w:val="-1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Contingência,</w:t>
      </w: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Resposta</w:t>
      </w:r>
      <w:r>
        <w:rPr>
          <w:spacing w:val="-1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e</w:t>
      </w: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Recuperação</w:t>
      </w:r>
    </w:p>
    <w:p>
      <w:pPr>
        <w:pStyle w:val="BodyText"/>
        <w:keepNext w:val="0"/>
        <w:keepLines w:val="0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Os quatro cenários do PCN seguem um fluxo comum: identificar sinais e alcance do evento; comunicar as funções responsáveis e avaliar a ativação; conter efeitos e executar alternativas</w:t>
      </w:r>
      <w:r>
        <w:rPr>
          <w:spacing w:val="-1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previamente</w:t>
      </w:r>
      <w:r>
        <w:rPr>
          <w:spacing w:val="-1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aprovadas;</w:t>
      </w:r>
      <w:r>
        <w:rPr>
          <w:spacing w:val="-1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recuperar</w:t>
      </w:r>
      <w:r>
        <w:rPr>
          <w:spacing w:val="-1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sistemas</w:t>
      </w:r>
      <w:r>
        <w:rPr>
          <w:spacing w:val="-1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spacing w:val="-1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dados</w:t>
      </w:r>
      <w:r>
        <w:rPr>
          <w:spacing w:val="-1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necessários;</w:t>
      </w:r>
      <w:r>
        <w:rPr>
          <w:spacing w:val="-1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validar</w:t>
      </w:r>
      <w:r>
        <w:rPr>
          <w:spacing w:val="-1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integridade e condições operacionais; e registrar a autorização de retorno. As ocorrências devem ser registradas com horário, sistemas afetados, decisões, responsáveis, evidências e pendências.</w:t>
      </w:r>
    </w:p>
    <w:p>
      <w:pPr>
        <w:pStyle w:val="BodyText"/>
        <w:keepNext w:val="0"/>
        <w:keepLines w:val="0"/>
        <w:widowControl/>
        <w:spacing w:before="100" w:after="0" w:line="360" w:lineRule="auto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 seleção do cenário deve corresponder aos riscos da PGR e às estratégias da seção 4. C01 trata a indisponibilidade das reservas (R01). C02 e C03 tratam, respectivamente, R05 e R03. C04 coordena incidentes amplos relacionados a R01, R03 e/ou R05. O risco R04, falha de sistemas legados de controle de voo, é tratado pelas estratégias de continuidade operacional da seção 4, sem presumir ligação com as reservas. R02, fraude via GDS, demanda apuração e correção de transações e só aciona a contingência se causar uma interrupção relevante.</w:t>
      </w:r>
      <w:r>
        <w:rPr>
          <w:spacing w:val="-11"/>
          <w:rFonts w:ascii="Times New Roman" w:hAnsi="Times New Roman" w:eastAsia="Times New Roman" w:cs="Times New Roman"/>
          <w:sz w:val="24"/>
          <w:szCs w:val="24"/>
        </w:rPr>
        <w:t/>
      </w:r>
      <w:r>
        <w:rPr>
          <w:rFonts w:ascii="Times New Roman" w:hAnsi="Times New Roman" w:eastAsia="Times New Roman" w:cs="Times New Roman"/>
          <w:sz w:val="24"/>
          <w:szCs w:val="24"/>
        </w:rPr>
        <w:t/>
      </w:r>
      <w:r>
        <w:rPr>
          <w:spacing w:val="-8"/>
          <w:rFonts w:ascii="Times New Roman" w:hAnsi="Times New Roman" w:eastAsia="Times New Roman" w:cs="Times New Roman"/>
          <w:sz w:val="24"/>
          <w:szCs w:val="24"/>
        </w:rPr>
        <w:t/>
      </w:r>
      <w:r>
        <w:rPr>
          <w:rFonts w:ascii="Times New Roman" w:hAnsi="Times New Roman" w:eastAsia="Times New Roman" w:cs="Times New Roman"/>
          <w:sz w:val="24"/>
          <w:szCs w:val="24"/>
        </w:rPr>
        <w:t/>
      </w:r>
      <w:r>
        <w:rPr>
          <w:spacing w:val="-7"/>
          <w:rFonts w:ascii="Times New Roman" w:hAnsi="Times New Roman" w:eastAsia="Times New Roman" w:cs="Times New Roman"/>
          <w:sz w:val="24"/>
          <w:szCs w:val="24"/>
        </w:rPr>
        <w:t/>
      </w:r>
      <w:r>
        <w:rPr>
          <w:rFonts w:ascii="Times New Roman" w:hAnsi="Times New Roman" w:eastAsia="Times New Roman" w:cs="Times New Roman"/>
          <w:sz w:val="24"/>
          <w:szCs w:val="24"/>
        </w:rPr>
        <w:t/>
      </w:r>
      <w:r>
        <w:rPr>
          <w:spacing w:val="-8"/>
          <w:rFonts w:ascii="Times New Roman" w:hAnsi="Times New Roman" w:eastAsia="Times New Roman" w:cs="Times New Roman"/>
          <w:sz w:val="24"/>
          <w:szCs w:val="24"/>
        </w:rPr>
        <w:t/>
      </w:r>
      <w:r>
        <w:rPr>
          <w:rFonts w:ascii="Times New Roman" w:hAnsi="Times New Roman" w:eastAsia="Times New Roman" w:cs="Times New Roman"/>
          <w:sz w:val="24"/>
          <w:szCs w:val="24"/>
        </w:rPr>
        <w:t/>
      </w:r>
      <w:r>
        <w:rPr>
          <w:spacing w:val="-9"/>
          <w:rFonts w:ascii="Times New Roman" w:hAnsi="Times New Roman" w:eastAsia="Times New Roman" w:cs="Times New Roman"/>
          <w:sz w:val="24"/>
          <w:szCs w:val="24"/>
        </w:rPr>
        <w:t/>
      </w:r>
      <w:r>
        <w:rPr>
          <w:rFonts w:ascii="Times New Roman" w:hAnsi="Times New Roman" w:eastAsia="Times New Roman" w:cs="Times New Roman"/>
          <w:sz w:val="24"/>
          <w:szCs w:val="24"/>
        </w:rPr>
        <w:t/>
      </w:r>
      <w:r>
        <w:rPr>
          <w:spacing w:val="-7"/>
          <w:rFonts w:ascii="Times New Roman" w:hAnsi="Times New Roman" w:eastAsia="Times New Roman" w:cs="Times New Roman"/>
          <w:sz w:val="24"/>
          <w:szCs w:val="24"/>
        </w:rPr>
        <w:t/>
      </w:r>
      <w:r>
        <w:rPr>
          <w:rFonts w:ascii="Times New Roman" w:hAnsi="Times New Roman" w:eastAsia="Times New Roman" w:cs="Times New Roman"/>
          <w:sz w:val="24"/>
          <w:szCs w:val="24"/>
        </w:rPr>
        <w:t/>
      </w:r>
      <w:r>
        <w:rPr>
          <w:spacing w:val="-7"/>
          <w:rFonts w:ascii="Times New Roman" w:hAnsi="Times New Roman" w:eastAsia="Times New Roman" w:cs="Times New Roman"/>
          <w:sz w:val="24"/>
          <w:szCs w:val="24"/>
        </w:rPr>
        <w:t/>
      </w:r>
      <w:r>
        <w:rPr>
          <w:rFonts w:ascii="Times New Roman" w:hAnsi="Times New Roman" w:eastAsia="Times New Roman" w:cs="Times New Roman"/>
          <w:sz w:val="24"/>
          <w:szCs w:val="24"/>
        </w:rPr>
        <w:t/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/>
      </w:r>
      <w:r>
        <w:rPr>
          <w:rFonts w:ascii="Times New Roman" w:hAnsi="Times New Roman" w:eastAsia="Times New Roman" w:cs="Times New Roman"/>
          <w:sz w:val="24"/>
          <w:szCs w:val="24"/>
        </w:rPr>
        <w:t/>
      </w:r>
      <w:r>
        <w:rPr>
          <w:spacing w:val="-10"/>
          <w:rFonts w:ascii="Times New Roman" w:hAnsi="Times New Roman" w:eastAsia="Times New Roman" w:cs="Times New Roman"/>
          <w:sz w:val="24"/>
          <w:szCs w:val="24"/>
        </w:rPr>
        <w:t/>
      </w:r>
      <w:r>
        <w:rPr>
          <w:rFonts w:ascii="Times New Roman" w:hAnsi="Times New Roman" w:eastAsia="Times New Roman" w:cs="Times New Roman"/>
          <w:sz w:val="24"/>
          <w:szCs w:val="24"/>
        </w:rPr>
        <w:t/>
      </w:r>
      <w:r>
        <w:rPr>
          <w:spacing w:val="-7"/>
          <w:rFonts w:ascii="Times New Roman" w:hAnsi="Times New Roman" w:eastAsia="Times New Roman" w:cs="Times New Roman"/>
          <w:sz w:val="24"/>
          <w:szCs w:val="24"/>
        </w:rPr>
        <w:t/>
      </w:r>
      <w:r>
        <w:rPr>
          <w:rFonts w:ascii="Times New Roman" w:hAnsi="Times New Roman" w:eastAsia="Times New Roman" w:cs="Times New Roman"/>
          <w:sz w:val="24"/>
          <w:szCs w:val="24"/>
        </w:rPr>
        <w:t/>
      </w:r>
      <w:r>
        <w:rPr>
          <w:spacing w:val="-6"/>
          <w:rFonts w:ascii="Times New Roman" w:hAnsi="Times New Roman" w:eastAsia="Times New Roman" w:cs="Times New Roman"/>
          <w:sz w:val="24"/>
          <w:szCs w:val="24"/>
        </w:rPr>
        <w:t/>
      </w:r>
      <w:r>
        <w:rPr>
          <w:rFonts w:ascii="Times New Roman" w:hAnsi="Times New Roman" w:eastAsia="Times New Roman" w:cs="Times New Roman"/>
          <w:sz w:val="24"/>
          <w:szCs w:val="24"/>
        </w:rPr>
        <w:t/>
      </w:r>
      <w:r>
        <w:rPr>
          <w:spacing w:val="-6"/>
          <w:rFonts w:ascii="Times New Roman" w:hAnsi="Times New Roman" w:eastAsia="Times New Roman" w:cs="Times New Roman"/>
          <w:sz w:val="24"/>
          <w:szCs w:val="24"/>
        </w:rPr>
        <w:t/>
      </w:r>
      <w:r>
        <w:rPr>
          <w:rFonts w:ascii="Times New Roman" w:hAnsi="Times New Roman" w:eastAsia="Times New Roman" w:cs="Times New Roman"/>
          <w:sz w:val="24"/>
          <w:szCs w:val="24"/>
        </w:rPr>
        <w:t/>
      </w:r>
      <w:r>
        <w:rPr>
          <w:spacing w:val="-5"/>
          <w:rFonts w:ascii="Times New Roman" w:hAnsi="Times New Roman" w:eastAsia="Times New Roman" w:cs="Times New Roman"/>
          <w:sz w:val="24"/>
          <w:szCs w:val="24"/>
        </w:rPr>
        <w:t/>
      </w:r>
      <w:r>
        <w:rPr>
          <w:rFonts w:ascii="Times New Roman" w:hAnsi="Times New Roman" w:eastAsia="Times New Roman" w:cs="Times New Roman"/>
          <w:sz w:val="24"/>
          <w:szCs w:val="24"/>
        </w:rPr>
        <w:t/>
      </w:r>
      <w:r>
        <w:rPr>
          <w:spacing w:val="-9"/>
          <w:rFonts w:ascii="Times New Roman" w:hAnsi="Times New Roman" w:eastAsia="Times New Roman" w:cs="Times New Roman"/>
          <w:sz w:val="24"/>
          <w:szCs w:val="24"/>
        </w:rPr>
        <w:t/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/>
      </w:r>
    </w:p>
    <w:p>
      <w:pPr>
        <w:pStyle w:val="BodyText"/>
        <w:keepNext w:val="0"/>
        <w:keepLines w:val="0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Os IDs e classificações R01–R05 seguem a PGR. Estratégias, recursos e funções devem ser validados e mantidos atualizados pela Coordenação do PCN. Um evento pode exigir mais de um cenário, sob coordenação única, e o status de implantação de cada recurso deve ser acompanhado antes de seu uso.</w:t>
      </w:r>
    </w:p>
    <w:p>
      <w:pPr>
        <w:pStyle w:val="BodyText"/>
        <w:keepNext w:val="0"/>
        <w:keepLines w:val="0"/>
        <w:widowControl/>
        <w:spacing w:before="100" w:after="0" w:line="360" w:lineRule="auto"/>
        <w:ind w:left="428" w:right="428" w:firstLine="1132"/>
        <w:jc w:val="both"/>
        <w:rPr>
          <w:sz w:val="8"/>
        </w:rPr>
      </w:pPr>
    </w:p>
    <w:p>
      <w:pPr>
        <w:pStyle w:val="TableParagraph"/>
        <w:keepNext w:val="0"/>
        <w:keepLines w:val="0"/>
        <w:widowControl/>
        <w:spacing w:after="0" w:line="360" w:lineRule="auto" w:before="100"/>
        <w:ind w:left="428" w:right="428" w:firstLine="1132"/>
        <w:jc w:val="both"/>
        <w:rPr>
          <w:sz w:val="24"/>
        </w:rPr>
        <w:sectPr>
          <w:pgSz w:w="11910" w:h="16840"/>
          <w:pgMar w:header="0" w:footer="538" w:top="1620" w:bottom="1417" w:left="1275" w:right="708"/>
        </w:sectPr>
      </w:pPr>
    </w:p>
    <w:p>
      <w:pPr>
        <w:pStyle w:val="Heading1"/>
        <w:keepNext/>
        <w:keepLines/>
        <w:spacing w:before="200" w:after="0" w:line="240" w:lineRule="auto"/>
        <w:ind w:left="858" w:right="0" w:hanging="431"/>
        <w:jc w:val="both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C01</w:t>
      </w:r>
      <w:r>
        <w:rPr>
          <w:spacing w:val="-3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—</w:t>
      </w:r>
      <w:r>
        <w:rPr>
          <w:spacing w:val="-1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Indisponibilidade</w:t>
      </w: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do</w:t>
      </w:r>
      <w:r>
        <w:rPr>
          <w:spacing w:val="-1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sistema</w:t>
      </w:r>
      <w:r>
        <w:rPr>
          <w:spacing w:val="-1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de</w:t>
      </w: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reservas</w:t>
      </w:r>
    </w:p>
    <w:p>
      <w:pPr>
        <w:pStyle w:val="BodyText"/>
        <w:keepNext w:val="0"/>
        <w:keepLines w:val="0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Gatilho de ativação: indisponibilidade relevante das reservas, incluindo DDoS (R01: probabilidade alta, impacto alto, nível crítico). O risco R02 (fraude GDS: também crítico) não será tratado automaticamente como indisponibilidade, pois pode ocorrer enquanto o serviço permanece disponível. Eventual relação com R04 somente será considerada se a dependência entre o sistema legado e as reservas for comprovada no planejamento.</w:t>
      </w:r>
    </w:p>
    <w:p>
      <w:pPr>
        <w:pStyle w:val="BodyText"/>
        <w:keepNext w:val="0"/>
        <w:keepLines w:val="0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Objetivo da contingência: reduzir a interrupção do atendimento sem comprometer a integridade dos registros. O backup offline é uma estratégia de recuperação de dados e não mantém, isoladamente, o sistema de reservas disponível durante um ataque DDoS.</w:t>
      </w:r>
    </w:p>
    <w:p>
      <w:pPr>
        <w:pStyle w:val="BodyText"/>
        <w:keepNext w:val="0"/>
        <w:keepLines w:val="0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Critério de encerramento: serviço acessível e estável, ataque ou causa sob controle, dados e registros conferidos, pendências identificadas e retorno autorizado pela gestão de reservas com parecer técnico da TI. Devem ser preservados registros do incidente, das decisões e das conciliações realizadas.</w:t>
      </w:r>
    </w:p>
    <w:p>
      <w:pPr>
        <w:pStyle w:val="BodyText"/>
        <w:keepNext w:val="0"/>
        <w:keepLines w:val="0"/>
        <w:widowControl/>
        <w:spacing w:before="100" w:after="0" w:line="360" w:lineRule="auto"/>
        <w:ind w:left="428" w:right="428" w:firstLine="1132"/>
        <w:jc w:val="both"/>
        <w:rPr>
          <w:sz w:val="8"/>
        </w:rPr>
      </w:pPr>
    </w:p>
    <w:tbl>
      <w:tblPr>
        <w:tblW w:w="0" w:type="auto"/>
        <w:jc w:val="left"/>
        <w:tblInd w:w="149" w:type="dxa"/>
        <w:tblLayout w:type="fixed"/>
        <w:tblLook w:val="01E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702"/>
        <w:gridCol w:w="5387"/>
        <w:gridCol w:w="2552"/>
      </w:tblGrid>
      <w:tr>
        <w:trPr/>
        <w:tc>
          <w:tcPr>
            <w:tcW w:w="1702" w:type="dxa"/>
            <w:shd w:val="clear" w:color="auto" w:fill="E7ECF1"/>
            <w:vAlign w:val="center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spacing w:val="-2"/>
                <w:sz w:val="20"/>
                <w:szCs w:val="20"/>
                <w:bCs w:val="1"/>
              </w:rPr>
              <w:t>Etapa</w:t>
            </w:r>
          </w:p>
        </w:tc>
        <w:tc>
          <w:tcPr>
            <w:tcW w:w="5387" w:type="dxa"/>
            <w:shd w:val="clear" w:color="auto" w:fill="E7ECF1"/>
            <w:vAlign w:val="center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sz w:val="20"/>
                <w:szCs w:val="20"/>
                <w:bCs w:val="1"/>
              </w:rPr>
              <w:t>Ação</w:t>
            </w:r>
          </w:p>
        </w:tc>
        <w:tc>
          <w:tcPr>
            <w:tcW w:w="2552" w:type="dxa"/>
            <w:shd w:val="clear" w:color="auto" w:fill="E7ECF1"/>
            <w:vAlign w:val="center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sz w:val="20"/>
                <w:szCs w:val="20"/>
                <w:bCs w:val="1"/>
              </w:rPr>
              <w:t>Detalhamento operacional</w:t>
            </w:r>
          </w:p>
        </w:tc>
      </w:tr>
      <w:tr>
        <w:trPr/>
        <w:tc>
          <w:tcPr>
            <w:tcW w:w="1702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tabs>
                <w:tab w:pos="1501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Identificar e acionar</w:t>
            </w:r>
          </w:p>
        </w:tc>
        <w:tc>
          <w:tcPr>
            <w:tcW w:w="5387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TI confirma a falha, horário, extensão e indícios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de DDoS; gestão de reservas informa impacto no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atendimento.</w:t>
            </w:r>
          </w:p>
        </w:tc>
        <w:tc>
          <w:tcPr>
            <w:tcW w:w="2552" w:type="dxa"/>
            <w:vAlign w:val="top"/>
          </w:tcPr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Funções: TI e gestão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de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reservas.</w:t>
            </w:r>
          </w:p>
          <w:p>
            <w:pPr>
              <w:pStyle w:val="TableParagraph"/>
              <w:keepLines/>
              <w:tabs>
                <w:tab w:pos="2352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Recurso: registros de monitoramento e chamados. Acionar a coordenação do PCN se houver interrupção relevante.</w:t>
            </w:r>
          </w:p>
        </w:tc>
      </w:tr>
      <w:tr>
        <w:trPr/>
        <w:tc>
          <w:tcPr>
            <w:tcW w:w="1702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tabs>
                <w:tab w:pos="1501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Conter e continuar</w:t>
            </w:r>
          </w:p>
        </w:tc>
        <w:tc>
          <w:tcPr>
            <w:tcW w:w="5387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TI e provedor pertinente tratam o tráfego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malicioso; gestão de reservas ativa atendimento alternativo apenas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se</w:t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houver</w:t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procedimento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recurso</w:t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previamente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validados.</w:t>
            </w:r>
          </w:p>
        </w:tc>
        <w:tc>
          <w:tcPr>
            <w:tcW w:w="2552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Funções: TI,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prestador autorizado e gestão de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reservas.</w:t>
            </w: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Critério: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alternativa segura, com controle de dados e registro de operações pendentes.</w:t>
            </w:r>
          </w:p>
        </w:tc>
      </w:tr>
      <w:tr>
        <w:trPr/>
        <w:tc>
          <w:tcPr>
            <w:tcW w:w="1702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Recuperar</w:t>
            </w:r>
          </w:p>
        </w:tc>
        <w:tc>
          <w:tcPr>
            <w:tcW w:w="5387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Após controlar a causa, restabelecer aplicação e infraestrutura</w:t>
            </w:r>
            <w:r>
              <w:rPr>
                <w:rFonts w:ascii="Times New Roman" w:hAnsi="Times New Roman" w:eastAsia="Times New Roman" w:cs="Times New Roman"/>
                <w:spacing w:val="-14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necessárias;</w:t>
            </w:r>
            <w:r>
              <w:rPr>
                <w:rFonts w:ascii="Times New Roman" w:hAnsi="Times New Roman" w:eastAsia="Times New Roman" w:cs="Times New Roman"/>
                <w:spacing w:val="-13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avaliar</w:t>
            </w:r>
            <w:r>
              <w:rPr>
                <w:rFonts w:ascii="Times New Roman" w:hAnsi="Times New Roman" w:eastAsia="Times New Roman" w:cs="Times New Roman"/>
                <w:spacing w:val="-14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restauração</w:t>
            </w:r>
            <w:r>
              <w:rPr>
                <w:rFonts w:ascii="Times New Roman" w:hAnsi="Times New Roman" w:eastAsia="Times New Roman" w:cs="Times New Roman"/>
                <w:spacing w:val="-13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-12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cópia offline verificada se os dados estiverem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comprometidos.</w:t>
            </w:r>
          </w:p>
        </w:tc>
        <w:tc>
          <w:tcPr>
            <w:tcW w:w="2552" w:type="dxa"/>
            <w:vAlign w:val="top"/>
          </w:tcPr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Funções: TI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 responsáveis pela base de reservas.</w:t>
            </w: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Recursos: cópias offline testadas e ambiente apropriado. Conferir versões e pendências.</w:t>
            </w:r>
          </w:p>
        </w:tc>
      </w:tr>
      <w:tr>
        <w:trPr/>
        <w:tc>
          <w:tcPr>
            <w:tcW w:w="1702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tabs>
                <w:tab w:pos="1501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Validar e retornar</w:t>
            </w:r>
          </w:p>
        </w:tc>
        <w:tc>
          <w:tcPr>
            <w:tcW w:w="5387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Testar disponibilidade, autenticação,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emissão autorizada e consistência dos registros; reconciliar atividades feitas em contingência.</w:t>
            </w:r>
          </w:p>
        </w:tc>
        <w:tc>
          <w:tcPr>
            <w:tcW w:w="2552" w:type="dxa"/>
            <w:shd w:val="clear" w:color="auto" w:fill="F7F8F9"/>
            <w:vAlign w:val="top"/>
          </w:tcPr>
          <w:p>
            <w:pPr>
              <w:pStyle w:val="TableParagraph"/>
              <w:keepLines/>
              <w:tabs>
                <w:tab w:pos="1392" w:val="left" w:leader="none"/>
                <w:tab w:pos="1577" w:val="left" w:leader="none"/>
                <w:tab w:pos="2349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TI valida tecnicamente; gestão de reservas valida operações e autoriza o retorno. Registrar aprovação, horário e inconsistências resolvidas.</w:t>
            </w:r>
          </w:p>
        </w:tc>
      </w:tr>
    </w:tbl>
    <w:p>
      <w:pPr>
        <w:pStyle w:val="Heading1"/>
        <w:keepNext/>
        <w:keepLines/>
        <w:spacing w:before="200" w:after="0" w:line="240" w:lineRule="auto"/>
        <w:ind w:left="858" w:right="0" w:hanging="431"/>
        <w:jc w:val="both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C02</w:t>
      </w: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—</w:t>
      </w:r>
      <w:r>
        <w:rPr>
          <w:spacing w:val="-1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Comprometimento</w:t>
      </w:r>
      <w:r>
        <w:rPr>
          <w:spacing w:val="-1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de</w:t>
      </w:r>
      <w:r>
        <w:rPr>
          <w:spacing w:val="-1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sistema</w:t>
      </w:r>
      <w:r>
        <w:rPr>
          <w:spacing w:val="-1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crítico</w:t>
      </w:r>
      <w:r>
        <w:rPr>
          <w:spacing w:val="-1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ou </w:t>
      </w: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embarcado</w:t>
      </w:r>
    </w:p>
    <w:p>
      <w:pPr>
        <w:pStyle w:val="BodyText"/>
        <w:keepNext w:val="0"/>
        <w:keepLines w:val="0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Este cenário será acionado quando houver indícios confiáveis de acesso não autorizado, alteração inesperada, comportamento anormal ou perda de 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integridade ou disponibilidade</w:t>
      </w:r>
      <w:r>
        <w:rPr>
          <w:spacing w:val="-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spacing w:val="-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um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sistema</w:t>
      </w:r>
      <w:r>
        <w:rPr>
          <w:spacing w:val="-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crítico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ou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embarcado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(R05).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TI registra</w:t>
      </w:r>
      <w:r>
        <w:rPr>
          <w:spacing w:val="-7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o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incidente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spacing w:val="-1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comunica</w:t>
      </w:r>
      <w:r>
        <w:rPr>
          <w:spacing w:val="-1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spacing w:val="-1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coordenação</w:t>
      </w:r>
      <w:r>
        <w:rPr>
          <w:spacing w:val="-1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do</w:t>
      </w:r>
      <w:r>
        <w:rPr>
          <w:spacing w:val="-1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PCN</w:t>
      </w:r>
      <w:r>
        <w:rPr>
          <w:spacing w:val="-1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spacing w:val="-1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as</w:t>
      </w:r>
      <w:r>
        <w:rPr>
          <w:spacing w:val="-1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funções</w:t>
      </w:r>
      <w:r>
        <w:rPr>
          <w:spacing w:val="-1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técnicas</w:t>
      </w:r>
      <w:r>
        <w:rPr>
          <w:spacing w:val="-1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spacing w:val="-1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operacionais</w:t>
      </w:r>
      <w:r>
        <w:rPr>
          <w:spacing w:val="-1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responsáveis.</w:t>
      </w:r>
      <w:r>
        <w:rPr>
          <w:spacing w:val="-1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Se</w:t>
      </w:r>
      <w:r>
        <w:rPr>
          <w:spacing w:val="-1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houver suspeita de origem no fornecedor, o cenário C03 deverá ser acionado em conjunto.</w:t>
      </w:r>
    </w:p>
    <w:p>
      <w:pPr>
        <w:pStyle w:val="BodyText"/>
        <w:keepNext w:val="0"/>
        <w:keepLines w:val="0"/>
        <w:widowControl/>
        <w:spacing w:after="0" w:line="360" w:lineRule="auto" w:before="100"/>
        <w:ind w:left="428" w:right="428" w:firstLine="1132"/>
        <w:jc w:val="both"/>
        <w:sectPr>
          <w:type w:val="continuous"/>
          <w:pgSz w:w="11910" w:h="16840"/>
          <w:pgMar w:header="0" w:footer="538" w:top="1660" w:bottom="760" w:left="1275" w:right="708"/>
        </w:sectPr>
      </w:pPr>
    </w:p>
    <w:tbl>
      <w:tblPr>
        <w:tblW w:w="0" w:type="auto"/>
        <w:jc w:val="left"/>
        <w:tblInd w:w="149" w:type="dxa"/>
        <w:tblLayout w:type="fixed"/>
        <w:tblLook w:val="01E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702"/>
        <w:gridCol w:w="5387"/>
        <w:gridCol w:w="2552"/>
      </w:tblGrid>
      <w:tr>
        <w:trPr/>
        <w:tc>
          <w:tcPr>
            <w:tcW w:w="1702" w:type="dxa"/>
            <w:shd w:val="clear" w:color="auto" w:fill="E7ECF1"/>
            <w:vAlign w:val="center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spacing w:val="-2"/>
                <w:sz w:val="20"/>
                <w:szCs w:val="20"/>
                <w:bCs w:val="1"/>
              </w:rPr>
              <w:t>Etapa</w:t>
            </w:r>
          </w:p>
        </w:tc>
        <w:tc>
          <w:tcPr>
            <w:tcW w:w="5387" w:type="dxa"/>
            <w:shd w:val="clear" w:color="auto" w:fill="E7ECF1"/>
            <w:vAlign w:val="center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sz w:val="20"/>
                <w:szCs w:val="20"/>
                <w:bCs w:val="1"/>
              </w:rPr>
              <w:t>Ação</w:t>
            </w:r>
          </w:p>
        </w:tc>
        <w:tc>
          <w:tcPr>
            <w:tcW w:w="2552" w:type="dxa"/>
            <w:shd w:val="clear" w:color="auto" w:fill="E7ECF1"/>
            <w:vAlign w:val="center"/>
          </w:tcPr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sz w:val="20"/>
                <w:szCs w:val="20"/>
                <w:bCs w:val="1"/>
              </w:rPr>
              <w:t>Detalhamento operacional</w:t>
            </w:r>
          </w:p>
        </w:tc>
      </w:tr>
      <w:tr>
        <w:trPr/>
        <w:tc>
          <w:tcPr>
            <w:tcW w:w="1702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tabs>
                <w:tab w:pos="1501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Identificar e acionar</w:t>
            </w:r>
          </w:p>
        </w:tc>
        <w:tc>
          <w:tcPr>
            <w:tcW w:w="5387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Registrar o indício e envolver TI, funções técnicas e operacionais pertinentes e suporte autorizado.</w:t>
            </w:r>
          </w:p>
        </w:tc>
        <w:tc>
          <w:tcPr>
            <w:tcW w:w="2552" w:type="dxa"/>
            <w:vAlign w:val="top"/>
          </w:tcPr>
          <w:p>
            <w:pPr>
              <w:pStyle w:val="TableParagraph"/>
              <w:keepLines/>
              <w:tabs>
                <w:tab w:pos="2170" w:val="left" w:leader="none"/>
              </w:tabs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Funções: TI, responsável técnico e representante operacional. Recurso: inventário, alertas e registro de incidentes. Critério: indício confiável de acesso ou alteração não autorizada.</w:t>
            </w:r>
          </w:p>
        </w:tc>
      </w:tr>
      <w:tr>
        <w:trPr/>
        <w:tc>
          <w:tcPr>
            <w:tcW w:w="1702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tabs>
                <w:tab w:pos="1194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Conter com segurança</w:t>
            </w:r>
          </w:p>
        </w:tc>
        <w:tc>
          <w:tcPr>
            <w:tcW w:w="5387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Definir restrições de acesso e eventual isolamento conforme procedimentos autorizados e avaliação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da segurança operacional.</w:t>
            </w:r>
          </w:p>
        </w:tc>
        <w:tc>
          <w:tcPr>
            <w:tcW w:w="2552" w:type="dxa"/>
            <w:shd w:val="clear" w:color="auto" w:fill="F7F8F9"/>
            <w:vAlign w:val="top"/>
          </w:tcPr>
          <w:p>
            <w:pPr>
              <w:pStyle w:val="TableParagraph"/>
              <w:keepLines/>
              <w:tabs>
                <w:tab w:pos="1536" w:val="left" w:leader="none"/>
                <w:tab w:pos="2350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Funções: TI e responsáveis técnicos/operacionais.</w:t>
            </w:r>
          </w:p>
          <w:p>
            <w:pPr>
              <w:pStyle w:val="TableParagraph"/>
              <w:keepLines/>
              <w:tabs>
                <w:tab w:pos="1548" w:val="left" w:leader="none"/>
                <w:tab w:pos="2072" w:val="left" w:leader="none"/>
                <w:tab w:pos="2350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Recurso: procedimento aprovado de restrição de acesso ou isolamento. Critério: impedir o uso do sistema suspeito, sem comprometer a segurança operacional nem agir sem autorização competente.</w:t>
            </w:r>
          </w:p>
        </w:tc>
      </w:tr>
      <w:tr>
        <w:trPr/>
        <w:tc>
          <w:tcPr>
            <w:tcW w:w="1702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Recuperar integridade</w:t>
            </w:r>
          </w:p>
        </w:tc>
        <w:tc>
          <w:tcPr>
            <w:tcW w:w="5387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Planejar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recuperação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ou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substituição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autorizada, verificar integridade e preservar registros relevantes.</w:t>
            </w:r>
          </w:p>
        </w:tc>
        <w:tc>
          <w:tcPr>
            <w:tcW w:w="2552" w:type="dxa"/>
            <w:vAlign w:val="top"/>
          </w:tcPr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Funções: TI e equipe técnica responsável; fornecedor somente se autorizado. Recursos: registros e versão ou cópia confiável, quando disponível. Critério: avaliar o alcance, corrigir ou substituir o componente por método aprovado e preservar evidências.</w:t>
            </w:r>
          </w:p>
        </w:tc>
      </w:tr>
      <w:tr>
        <w:trPr/>
        <w:tc>
          <w:tcPr>
            <w:tcW w:w="1702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tabs>
                <w:tab w:pos="1501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Validar e retornar</w:t>
            </w:r>
          </w:p>
        </w:tc>
        <w:tc>
          <w:tcPr>
            <w:tcW w:w="5387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Submeter a solução às validações técnicas e operacionais necessárias; registrar quem autorizou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retomada.</w:t>
            </w:r>
          </w:p>
        </w:tc>
        <w:tc>
          <w:tcPr>
            <w:tcW w:w="2552" w:type="dxa"/>
            <w:shd w:val="clear" w:color="auto" w:fill="F7F8F9"/>
            <w:vAlign w:val="top"/>
          </w:tcPr>
          <w:p>
            <w:pPr>
              <w:pStyle w:val="TableParagraph"/>
              <w:keepLines/>
              <w:tabs>
                <w:tab w:pos="1316" w:val="left" w:leader="none"/>
                <w:tab w:pos="1668" w:val="left" w:leader="none"/>
                <w:tab w:pos="2349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Funções: equipe técnica e autoridade operacional competente. Recurso: testes e lista de verificação documentados. Critério: confirmar integridade, funcionamento e segurança, registrar a liberação formal e encaminhar pendências.</w:t>
            </w:r>
          </w:p>
        </w:tc>
      </w:tr>
    </w:tbl>
    <w:p>
      <w:pPr>
        <w:pStyle w:val="BodyText"/>
        <w:keepNext w:val="0"/>
        <w:keepLines w:val="0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 ativação será autorizada pela função designada pela Alta Administração quando o impacto exigir coordenação do PCN. O sistema suspeito só poderá voltar a ser utilizado após validação técnica e liberação operacional pelas funções competentes. Registrar horário, sistemas afetados, medidas adotadas, evidências, resultados dos testes, aprovações e pendências. As medidas descritas devem ser formalizadas em procedimentos, testadas e aprovadas pelas funções técnicas e operacionais competentes.</w:t>
      </w:r>
    </w:p>
    <w:p>
      <w:pPr>
        <w:pStyle w:val="BodyText"/>
        <w:keepNext w:val="0"/>
        <w:keepLines w:val="0"/>
        <w:widowControl/>
        <w:spacing w:after="0" w:line="360" w:lineRule="auto" w:before="100"/>
        <w:ind w:left="428" w:right="428" w:firstLine="1132"/>
        <w:jc w:val="both"/>
        <w:sectPr>
          <w:pgSz w:w="11910" w:h="16840"/>
          <w:pgMar w:header="0" w:footer="538" w:top="1660" w:bottom="760" w:left="1275" w:right="708"/>
        </w:sectPr>
      </w:pPr>
    </w:p>
    <w:p>
      <w:pPr>
        <w:pStyle w:val="Heading1"/>
        <w:keepNext/>
        <w:keepLines/>
        <w:spacing w:before="200" w:after="0" w:line="240" w:lineRule="auto"/>
        <w:ind w:left="858" w:right="0" w:hanging="431"/>
        <w:jc w:val="both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C03</w:t>
      </w:r>
      <w:r>
        <w:rPr>
          <w:spacing w:val="-3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—</w:t>
      </w: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Comprometimento</w:t>
      </w: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por</w:t>
      </w: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fornecedor</w:t>
      </w:r>
      <w:r>
        <w:rPr>
          <w:spacing w:val="-1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</w:t>
      </w: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externo</w:t>
      </w:r>
    </w:p>
    <w:p>
      <w:pPr>
        <w:pStyle w:val="BodyText"/>
        <w:keepNext w:val="0"/>
        <w:keepLines w:val="0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Este cenário será acionado quando registros de acesso remoto, alterações inesperadas, credenciais suspeitas ou alertas indicarem possível comprometimento por meio do suporte externo (R03). A TI e o responsável pelo contrato deverão identificar o fornecedor, os acessos utilizados e os sistemas possivelmente afetados. Se o evento atingir um sistema embarcado, a Coordenação do PCN deverá acionar também o cenário C02/R05.</w:t>
      </w:r>
    </w:p>
    <w:p>
      <w:pPr>
        <w:pStyle w:val="BodyText"/>
        <w:keepNext w:val="0"/>
        <w:keepLines w:val="0"/>
        <w:widowControl/>
        <w:spacing w:before="100" w:after="0" w:line="360" w:lineRule="auto"/>
        <w:ind w:left="428" w:right="428" w:firstLine="1132"/>
        <w:jc w:val="both"/>
        <w:rPr>
          <w:sz w:val="8"/>
        </w:rPr>
      </w:pPr>
    </w:p>
    <w:tbl>
      <w:tblPr>
        <w:tblW w:w="0" w:type="auto"/>
        <w:jc w:val="left"/>
        <w:tblInd w:w="149" w:type="dxa"/>
        <w:tblLayout w:type="fixed"/>
        <w:tblLook w:val="01E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702"/>
        <w:gridCol w:w="5387"/>
        <w:gridCol w:w="2552"/>
      </w:tblGrid>
      <w:tr>
        <w:trPr/>
        <w:tc>
          <w:tcPr>
            <w:tcW w:w="1702" w:type="dxa"/>
            <w:shd w:val="clear" w:color="auto" w:fill="E7ECF1"/>
            <w:vAlign w:val="center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spacing w:val="-2"/>
                <w:sz w:val="20"/>
                <w:szCs w:val="20"/>
                <w:bCs w:val="1"/>
              </w:rPr>
              <w:t>Etapa</w:t>
            </w:r>
          </w:p>
        </w:tc>
        <w:tc>
          <w:tcPr>
            <w:tcW w:w="5387" w:type="dxa"/>
            <w:shd w:val="clear" w:color="auto" w:fill="E7ECF1"/>
            <w:vAlign w:val="center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sz w:val="20"/>
                <w:szCs w:val="20"/>
                <w:bCs w:val="1"/>
              </w:rPr>
              <w:t>Ação</w:t>
            </w:r>
          </w:p>
        </w:tc>
        <w:tc>
          <w:tcPr>
            <w:tcW w:w="2552" w:type="dxa"/>
            <w:shd w:val="clear" w:color="auto" w:fill="E7ECF1"/>
            <w:vAlign w:val="center"/>
          </w:tcPr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sz w:val="20"/>
                <w:szCs w:val="20"/>
                <w:bCs w:val="1"/>
              </w:rPr>
              <w:t>Detalhamento operacional</w:t>
            </w:r>
          </w:p>
        </w:tc>
      </w:tr>
      <w:tr>
        <w:trPr/>
        <w:tc>
          <w:tcPr>
            <w:tcW w:w="1702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tabs>
                <w:tab w:pos="1501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Identificar e acionar</w:t>
            </w:r>
          </w:p>
        </w:tc>
        <w:tc>
          <w:tcPr>
            <w:tcW w:w="5387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Registrar o evento, identificar o serviço e envolver as funções responsáveis pelo contrato e pelo sistema.</w:t>
            </w:r>
          </w:p>
        </w:tc>
        <w:tc>
          <w:tcPr>
            <w:tcW w:w="2552" w:type="dxa"/>
            <w:vAlign w:val="top"/>
          </w:tcPr>
          <w:p>
            <w:pPr>
              <w:pStyle w:val="TableParagraph"/>
              <w:keepLines/>
              <w:tabs>
                <w:tab w:pos="1685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Funções: TI, gestor do contrato e responsável pelo sistema. Recursos: registros de acesso, contrato e canal oficial do fornecedor. Critério: suspeita fundamentada de acesso ou alteração não autorizada.</w:t>
            </w:r>
          </w:p>
        </w:tc>
      </w:tr>
      <w:tr>
        <w:trPr/>
        <w:tc>
          <w:tcPr>
            <w:tcW w:w="1702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Conter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 acesso</w:t>
            </w:r>
          </w:p>
        </w:tc>
        <w:tc>
          <w:tcPr>
            <w:tcW w:w="5387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Avaliar suspensão ou restrição do acesso afetado, preservando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registros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 observando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o impacto sobre</w:t>
            </w: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o suporte crítico.</w:t>
            </w:r>
          </w:p>
        </w:tc>
        <w:tc>
          <w:tcPr>
            <w:tcW w:w="2552" w:type="dxa"/>
            <w:shd w:val="clear" w:color="auto" w:fill="F7F8F9"/>
            <w:vAlign w:val="top"/>
          </w:tcPr>
          <w:p>
            <w:pPr>
              <w:pStyle w:val="TableParagraph"/>
              <w:keepLines/>
              <w:tabs>
                <w:tab w:pos="1644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Funções: TI, gestor do contrato e coordenação do PCN. Recurso: controle e registro de sessões remotas. Critério: restringir ou suspender o acesso afetado após avaliar o impacto, preservar evidências e exigir aprovação para novo acesso.</w:t>
            </w:r>
          </w:p>
        </w:tc>
      </w:tr>
      <w:tr>
        <w:trPr/>
        <w:tc>
          <w:tcPr>
            <w:tcW w:w="1702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Recuperar</w:t>
            </w:r>
          </w:p>
        </w:tc>
        <w:tc>
          <w:tcPr>
            <w:tcW w:w="5387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Analisar o alcance, revisar credenciais e recuperar os sistemas conforme o tratamento técnico autorizado.</w:t>
            </w:r>
          </w:p>
        </w:tc>
        <w:tc>
          <w:tcPr>
            <w:tcW w:w="2552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Funções: TI e responsável técnico; fornecedor apenas com autorização e supervisão. Recursos: revisão de contas, credenciais, configurações e registros. Critério: corrigir a causa, revogar credenciais suspeitas e restaurar versão confiável, se necessário.</w:t>
            </w:r>
          </w:p>
        </w:tc>
      </w:tr>
      <w:tr>
        <w:trPr/>
        <w:tc>
          <w:tcPr>
            <w:tcW w:w="1702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Restabelecer suporte</w:t>
            </w:r>
          </w:p>
        </w:tc>
        <w:tc>
          <w:tcPr>
            <w:tcW w:w="5387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Validar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correção,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reautorizar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apenas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os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acessos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necessários</w:t>
            </w:r>
            <w:r>
              <w:rPr>
                <w:rFonts w:ascii="Times New Roman" w:hAnsi="Times New Roman" w:eastAsia="Times New Roman" w:cs="Times New Roman"/>
                <w:spacing w:val="-9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7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registrar</w:t>
            </w:r>
            <w:r>
              <w:rPr>
                <w:rFonts w:ascii="Times New Roman" w:hAnsi="Times New Roman" w:eastAsia="Times New Roman" w:cs="Times New Roman"/>
                <w:spacing w:val="-9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condições</w:t>
            </w:r>
            <w:r>
              <w:rPr>
                <w:rFonts w:ascii="Times New Roman" w:hAnsi="Times New Roman" w:eastAsia="Times New Roman" w:cs="Times New Roman"/>
                <w:spacing w:val="-8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-7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acompanhamento.</w:t>
            </w:r>
          </w:p>
        </w:tc>
        <w:tc>
          <w:tcPr>
            <w:tcW w:w="2552" w:type="dxa"/>
            <w:shd w:val="clear" w:color="auto" w:fill="F7F8F9"/>
            <w:vAlign w:val="top"/>
          </w:tcPr>
          <w:p>
            <w:pPr>
              <w:pStyle w:val="TableParagraph"/>
              <w:keepLines/>
              <w:tabs>
                <w:tab w:pos="1671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Funções: TI e gestor do contrato. Recurso: autorização formal, acesso mínimo e temporário, com registro e supervisão. Critério: reabrir somente os acessos necessários após validar a integridade dos sistemas e definir acompanhamento.</w:t>
            </w:r>
          </w:p>
        </w:tc>
      </w:tr>
    </w:tbl>
    <w:p>
      <w:pPr>
        <w:pStyle w:val="BodyText"/>
        <w:keepNext w:val="0"/>
        <w:keepLines w:val="0"/>
        <w:widowControl/>
        <w:spacing w:before="100" w:after="0" w:line="360" w:lineRule="auto"/>
        <w:ind w:left="428" w:right="428" w:firstLine="1132"/>
        <w:jc w:val="both"/>
      </w:pPr>
    </w:p>
    <w:p>
      <w:pPr>
        <w:pStyle w:val="BodyText"/>
        <w:keepNext w:val="0"/>
        <w:keepLines w:val="0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 função designada pela Alta Administração coordenará a ativação quando o impacto exigir o PCN. A TI recomendará as medidas técnicas e o gestor do contrato tratará o caso com o fornecedor por canal autorizado. O suporte só será restabelecido após revisar credenciais</w:t>
      </w:r>
      <w:r>
        <w:rPr>
          <w:spacing w:val="5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spacing w:val="58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permissões,</w:t>
      </w:r>
      <w:r>
        <w:rPr>
          <w:spacing w:val="56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validar</w:t>
      </w:r>
      <w:r>
        <w:rPr>
          <w:spacing w:val="56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os</w:t>
      </w:r>
      <w:r>
        <w:rPr>
          <w:spacing w:val="56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sistemas</w:t>
      </w:r>
      <w:r>
        <w:rPr>
          <w:spacing w:val="60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spacing w:val="57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aprovar</w:t>
      </w:r>
      <w:r>
        <w:rPr>
          <w:spacing w:val="56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os</w:t>
      </w:r>
      <w:r>
        <w:rPr>
          <w:spacing w:val="56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acessos</w:t>
      </w:r>
      <w:r>
        <w:rPr>
          <w:spacing w:val="58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mínimos</w:t>
      </w:r>
      <w:r>
        <w:rPr>
          <w:spacing w:val="57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necessários.</w:t>
      </w:r>
    </w:p>
    <w:p>
      <w:pPr>
        <w:pStyle w:val="BodyText"/>
        <w:keepNext w:val="0"/>
        <w:keepLines w:val="0"/>
        <w:widowControl/>
        <w:spacing w:after="0" w:line="360" w:lineRule="auto" w:before="100"/>
        <w:ind w:left="428" w:right="428" w:firstLine="1132"/>
        <w:jc w:val="both"/>
        <w:sectPr>
          <w:type w:val="continuous"/>
          <w:pgSz w:w="11910" w:h="16840"/>
          <w:pgMar w:header="0" w:footer="538" w:top="1660" w:bottom="760" w:left="1275" w:right="708"/>
        </w:sectPr>
      </w:pPr>
    </w:p>
    <w:p>
      <w:pPr>
        <w:pStyle w:val="BodyText"/>
        <w:keepNext w:val="0"/>
        <w:keepLines w:val="0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Registrar decisões, horários, acessos, evidências, validações e pendências. As medidas devem ser implantadas, testadas e acompanhadas por evidências de execução e eficácia.</w:t>
      </w:r>
    </w:p>
    <w:p>
      <w:pPr>
        <w:pStyle w:val="Heading1"/>
        <w:keepNext/>
        <w:keepLines/>
        <w:spacing w:before="200" w:after="0" w:line="240" w:lineRule="auto"/>
        <w:ind w:left="858" w:right="0" w:hanging="431"/>
        <w:jc w:val="both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C04</w:t>
      </w:r>
      <w:r>
        <w:rPr>
          <w:spacing w:val="-3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—</w:t>
      </w:r>
      <w:r>
        <w:rPr>
          <w:spacing w:val="-1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Incidente</w:t>
      </w:r>
      <w:r>
        <w:rPr>
          <w:spacing w:val="-3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cibernético</w:t>
      </w:r>
      <w:r>
        <w:rPr>
          <w:spacing w:val="-1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de</w:t>
      </w: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grande</w:t>
      </w: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impacto</w:t>
      </w:r>
    </w:p>
    <w:p>
      <w:pPr>
        <w:pStyle w:val="BodyText"/>
        <w:keepNext w:val="0"/>
        <w:keepLines w:val="0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Cenário de referência: evento cibernético que afete simultaneamente o sistema de reservas e serviços críticos relacionados à operação, ou provoque indisponibilidade prolongada além da capacidade de tratamento isolado. Devem ser relacionados somente os riscos efetivamente materializados: R01, R03 e/ou R05.</w:t>
      </w:r>
    </w:p>
    <w:p>
      <w:pPr>
        <w:pStyle w:val="BodyText"/>
        <w:keepNext w:val="0"/>
        <w:keepLines w:val="0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Gatilho de ativação: confirmação de múltiplos serviços críticos afetados, impacto operacional relevante ou necessidade de coordenação entre TI, reservas, áreas operacionais, engenharia/manutenção e fornecedores. A função designada pela direção coordena o PCN; as decisões sobre voos permanecem sob a autoridade operacional competente.</w:t>
      </w:r>
    </w:p>
    <w:p>
      <w:pPr>
        <w:pStyle w:val="BodyText"/>
        <w:keepNext w:val="0"/>
        <w:keepLines w:val="0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Prioridade: preservar a segurança operacional e conter comprometimentos; em seguida,</w:t>
      </w:r>
      <w:r>
        <w:rPr>
          <w:spacing w:val="-1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recuperar</w:t>
      </w:r>
      <w:r>
        <w:rPr>
          <w:spacing w:val="-1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recursos</w:t>
      </w:r>
      <w:r>
        <w:rPr>
          <w:spacing w:val="-10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necessários</w:t>
      </w:r>
      <w:r>
        <w:rPr>
          <w:spacing w:val="-1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à</w:t>
      </w:r>
      <w:r>
        <w:rPr>
          <w:spacing w:val="-12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continuidade</w:t>
      </w:r>
      <w:r>
        <w:rPr>
          <w:spacing w:val="-12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autorizada</w:t>
      </w:r>
      <w:r>
        <w:rPr>
          <w:spacing w:val="-12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das</w:t>
      </w:r>
      <w:r>
        <w:rPr>
          <w:spacing w:val="-10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operações</w:t>
      </w:r>
      <w:r>
        <w:rPr>
          <w:spacing w:val="-8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spacing w:val="-12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das</w:t>
      </w:r>
      <w:r>
        <w:rPr>
          <w:spacing w:val="-10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reservas, de acordo com a análise da seção 3. A comunicação à ANAC e ao DECEA deve ser avaliada pelas funções responsáveis conforme o evento e os requisitos aplicáveis; incidentes com dados pessoais exigem análise das obrigações pertinentes.</w:t>
      </w:r>
    </w:p>
    <w:p>
      <w:pPr>
        <w:pStyle w:val="BodyText"/>
        <w:keepNext w:val="0"/>
        <w:keepLines w:val="0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Critério de encerramento: riscos imediatos controlados, sistemas afetados tecnicamente validados, condições operacionais aprovadas, integridade das informações verificadas, comunicações pertinentes realizadas e retorno formalmente autorizado e registrado. Os resultados alimentam a revisão da PGR, da PSI e do PCN.</w:t>
      </w:r>
    </w:p>
    <w:p>
      <w:pPr>
        <w:pStyle w:val="BodyText"/>
        <w:keepNext w:val="0"/>
        <w:keepLines w:val="0"/>
        <w:widowControl/>
        <w:spacing w:before="100" w:after="0" w:line="360" w:lineRule="auto"/>
        <w:ind w:left="428" w:right="428" w:firstLine="1132"/>
        <w:jc w:val="both"/>
        <w:rPr>
          <w:sz w:val="8"/>
        </w:rPr>
      </w:pPr>
    </w:p>
    <w:tbl>
      <w:tblPr>
        <w:tblW w:w="0" w:type="auto"/>
        <w:jc w:val="left"/>
        <w:tblInd w:w="149" w:type="dxa"/>
        <w:tblLayout w:type="fixed"/>
        <w:tblLook w:val="01E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702"/>
        <w:gridCol w:w="5387"/>
        <w:gridCol w:w="2552"/>
      </w:tblGrid>
      <w:tr>
        <w:trPr/>
        <w:tc>
          <w:tcPr>
            <w:tcW w:w="1702" w:type="dxa"/>
            <w:shd w:val="clear" w:color="auto" w:fill="E7ECF1"/>
            <w:vAlign w:val="center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spacing w:val="-2"/>
                <w:sz w:val="20"/>
                <w:szCs w:val="20"/>
                <w:bCs w:val="1"/>
              </w:rPr>
              <w:t>Etapa</w:t>
            </w:r>
          </w:p>
        </w:tc>
        <w:tc>
          <w:tcPr>
            <w:tcW w:w="5387" w:type="dxa"/>
            <w:shd w:val="clear" w:color="auto" w:fill="E7ECF1"/>
            <w:vAlign w:val="center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sz w:val="20"/>
                <w:szCs w:val="20"/>
                <w:bCs w:val="1"/>
              </w:rPr>
              <w:t>Ação</w:t>
            </w:r>
          </w:p>
        </w:tc>
        <w:tc>
          <w:tcPr>
            <w:tcW w:w="2552" w:type="dxa"/>
            <w:shd w:val="clear" w:color="auto" w:fill="E7ECF1"/>
            <w:vAlign w:val="center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sz w:val="20"/>
                <w:szCs w:val="20"/>
                <w:bCs w:val="1"/>
              </w:rPr>
              <w:t>Detalhamento operacional</w:t>
            </w:r>
          </w:p>
        </w:tc>
      </w:tr>
      <w:tr>
        <w:trPr/>
        <w:tc>
          <w:tcPr>
            <w:tcW w:w="1702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Dimensionar</w:t>
            </w:r>
            <w:r>
              <w:rPr>
                <w:rFonts w:ascii="Times New Roman" w:hAnsi="Times New Roman" w:eastAsia="Times New Roman" w:cs="Times New Roman"/>
                <w:spacing w:val="76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coordenar</w:t>
            </w:r>
          </w:p>
        </w:tc>
        <w:tc>
          <w:tcPr>
            <w:tcW w:w="5387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TI e áreas operacionais identificam os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sistemas atingidos, verificam relações entre R01, R03 e R05 e propõem a ativação coordenada do PCN.</w:t>
            </w:r>
          </w:p>
        </w:tc>
        <w:tc>
          <w:tcPr>
            <w:tcW w:w="2552" w:type="dxa"/>
            <w:vAlign w:val="top"/>
          </w:tcPr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Funções: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coordenação designada pela direção, TI e gestores afetados. Evidências: registro único do evento, impacto, decisões e cenários acionados.</w:t>
            </w:r>
          </w:p>
        </w:tc>
      </w:tr>
      <w:tr>
        <w:trPr/>
        <w:tc>
          <w:tcPr>
            <w:tcW w:w="1702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tabs>
                <w:tab w:pos="1501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Conter e priorizar</w:t>
            </w:r>
          </w:p>
        </w:tc>
        <w:tc>
          <w:tcPr>
            <w:tcW w:w="5387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Aplicar restrições de acesso e contenção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técnica autorizadas, preservar evidências e impedir uso de sistemas críticos suspeitos sem liberação.</w:t>
            </w:r>
          </w:p>
        </w:tc>
        <w:tc>
          <w:tcPr>
            <w:tcW w:w="2552" w:type="dxa"/>
            <w:shd w:val="clear" w:color="auto" w:fill="F7F8F9"/>
            <w:vAlign w:val="top"/>
          </w:tcPr>
          <w:p>
            <w:pPr>
              <w:pStyle w:val="TableParagraph"/>
              <w:keepLines/>
              <w:tabs>
                <w:tab w:pos="2170" w:val="left" w:leader="none"/>
              </w:tabs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Funções: TI, engenharia, manutenção e operações. Critério: segurança operacional preservada; priorização conforme a seção 3 e parecer competente.</w:t>
            </w:r>
          </w:p>
        </w:tc>
      </w:tr>
      <w:tr>
        <w:trPr/>
        <w:tc>
          <w:tcPr>
            <w:tcW w:w="1702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tabs>
                <w:tab w:pos="1501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Continuar e recuperar</w:t>
            </w:r>
          </w:p>
        </w:tc>
        <w:tc>
          <w:tcPr>
            <w:tcW w:w="5387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Adotar alternativas previamente validadas, recuperar primeiro dependências indispensáveis e usar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cópias verificadas quando forem necessárias.</w:t>
            </w:r>
          </w:p>
        </w:tc>
        <w:tc>
          <w:tcPr>
            <w:tcW w:w="2552" w:type="dxa"/>
            <w:vAlign w:val="top"/>
          </w:tcPr>
          <w:p>
            <w:pPr>
              <w:pStyle w:val="TableParagraph"/>
              <w:keepLines/>
              <w:tabs>
                <w:tab w:pos="2170" w:val="left" w:leader="none"/>
              </w:tabs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Funções: TI, responsáveis pelos sistemas e prestadores autorizados. Recursos: procedimentos de contingência e backups definidos na seção 4.</w:t>
            </w:r>
          </w:p>
        </w:tc>
      </w:tr>
      <w:tr>
        <w:trPr/>
        <w:tc>
          <w:tcPr>
            <w:tcW w:w="1702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tabs>
                <w:tab w:pos="1501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Validar e comunicar</w:t>
            </w:r>
          </w:p>
        </w:tc>
        <w:tc>
          <w:tcPr>
            <w:tcW w:w="5387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Verificar integridade, estabilidade e segurança dos processos retomados; comunicar evolução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aos públicos pertinentes e registrar lições aprendidas.</w:t>
            </w:r>
          </w:p>
        </w:tc>
        <w:tc>
          <w:tcPr>
            <w:tcW w:w="2552" w:type="dxa"/>
            <w:shd w:val="clear" w:color="auto" w:fill="F7F8F9"/>
            <w:vAlign w:val="top"/>
          </w:tcPr>
          <w:p>
            <w:pPr>
              <w:pStyle w:val="TableParagraph"/>
              <w:keepLines/>
              <w:tabs>
                <w:tab w:pos="1229" w:val="left" w:leader="none"/>
                <w:tab w:pos="2349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Funções: responsáveis técnicos e operacionais, coordenação e comunicação institucional.</w:t>
            </w: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Conclusão:</w:t>
            </w:r>
            <w:r>
              <w:rPr>
                <w:rFonts w:ascii="Times New Roman" w:hAnsi="Times New Roman" w:eastAsia="Times New Roman" w:cs="Times New Roman"/>
                <w:spacing w:val="-9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autorizações registradas e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pendências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encaminhadas.</w:t>
            </w:r>
          </w:p>
        </w:tc>
      </w:tr>
    </w:tbl>
    <w:p>
      <w:pPr>
        <w:pStyle w:val="Heading1"/>
        <w:keepNext/>
        <w:keepLines/>
        <w:numPr>
          <w:ilvl w:val="0"/>
          <w:numId w:val="1"/>
        </w:numPr>
        <w:tabs>
          <w:tab w:pos="858" w:val="left" w:leader="none"/>
        </w:tabs>
        <w:spacing w:line="240" w:lineRule="auto" w:before="200" w:after="0"/>
        <w:ind w:left="858" w:right="0" w:hanging="431"/>
        <w:jc w:val="both"/>
      </w:pP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Comunicação</w:t>
      </w:r>
    </w:p>
    <w:p>
      <w:pPr>
        <w:pStyle w:val="BodyText"/>
        <w:keepNext w:val="0"/>
        <w:keepLines w:val="0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 comunicação durante a contingência será coordenada pela função designada pela direção, com apoio da TI e das áreas afetadas. Somente informações confirmadas e aprovadas deverão ser divulgadas. Telefones, e-mails, contatos e canais oficiais devem constar em lista controlada, mantida pela Coordenação do PCN e atualizada trimestralmente e após mudanças de responsáveis.</w:t>
      </w:r>
    </w:p>
    <w:p>
      <w:pPr>
        <w:pStyle w:val="BodyText"/>
        <w:keepNext w:val="0"/>
        <w:keepLines w:val="0"/>
        <w:widowControl/>
        <w:spacing w:after="0" w:line="360" w:lineRule="auto" w:before="100"/>
        <w:ind w:left="428" w:right="428" w:firstLine="1132"/>
        <w:jc w:val="both"/>
        <w:sectPr>
          <w:type w:val="continuous"/>
          <w:pgSz w:w="11910" w:h="16840"/>
          <w:pgMar w:header="0" w:footer="538" w:top="1660" w:bottom="760" w:left="1275" w:right="708"/>
        </w:sectPr>
      </w:pPr>
    </w:p>
    <w:p>
      <w:pPr>
        <w:pStyle w:val="BodyText"/>
        <w:keepNext w:val="0"/>
        <w:keepLines w:val="0"/>
        <w:widowControl/>
        <w:spacing w:before="100" w:after="0" w:line="360" w:lineRule="auto"/>
        <w:ind w:left="428" w:right="428" w:firstLine="1132"/>
        <w:jc w:val="both"/>
        <w:rPr>
          <w:sz w:val="8"/>
        </w:rPr>
      </w:pPr>
    </w:p>
    <w:tbl>
      <w:tblPr>
        <w:tblW w:w="0" w:type="auto"/>
        <w:jc w:val="left"/>
        <w:tblInd w:w="149" w:type="dxa"/>
        <w:tblLayout w:type="fixed"/>
        <w:tblLook w:val="01E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324"/>
        <w:gridCol w:w="4765"/>
        <w:gridCol w:w="2552"/>
      </w:tblGrid>
      <w:tr>
        <w:trPr/>
        <w:tc>
          <w:tcPr>
            <w:tcW w:w="2324" w:type="dxa"/>
            <w:shd w:val="clear" w:color="auto" w:fill="E7ECF1"/>
            <w:vAlign w:val="center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spacing w:val="-2"/>
                <w:sz w:val="20"/>
                <w:szCs w:val="20"/>
                <w:bCs w:val="1"/>
              </w:rPr>
              <w:t>Destinatário</w:t>
            </w:r>
          </w:p>
        </w:tc>
        <w:tc>
          <w:tcPr>
            <w:tcW w:w="4765" w:type="dxa"/>
            <w:shd w:val="clear" w:color="auto" w:fill="E7ECF1"/>
            <w:vAlign w:val="center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sz w:val="20"/>
                <w:szCs w:val="20"/>
                <w:bCs w:val="1"/>
              </w:rPr>
              <w:t>Conteúdo</w:t>
            </w:r>
            <w:r>
              <w:rPr>
                <w:rFonts w:ascii="Times New Roman" w:hAnsi="Times New Roman" w:eastAsia="Times New Roman" w:cs="Times New Roman"/>
                <w:b w:val="1"/>
                <w:spacing w:val="-1"/>
                <w:sz w:val="20"/>
                <w:szCs w:val="20"/>
                <w:bCs w:val="1"/>
              </w:rPr>
              <w:t> </w:t>
            </w:r>
            <w:r>
              <w:rPr>
                <w:rFonts w:ascii="Times New Roman" w:hAnsi="Times New Roman" w:eastAsia="Times New Roman" w:cs="Times New Roman"/>
                <w:b w:val="1"/>
                <w:sz w:val="20"/>
                <w:szCs w:val="20"/>
                <w:bCs w:val="1"/>
              </w:rPr>
              <w:t>/</w:t>
            </w:r>
            <w:r>
              <w:rPr>
                <w:rFonts w:ascii="Times New Roman" w:hAnsi="Times New Roman" w:eastAsia="Times New Roman" w:cs="Times New Roman"/>
                <w:b w:val="1"/>
                <w:spacing w:val="-1"/>
                <w:sz w:val="20"/>
                <w:szCs w:val="20"/>
                <w:bCs w:val="1"/>
              </w:rPr>
              <w:t> </w:t>
            </w:r>
            <w:r>
              <w:rPr>
                <w:rFonts w:ascii="Times New Roman" w:hAnsi="Times New Roman" w:eastAsia="Times New Roman" w:cs="Times New Roman"/>
                <w:b w:val="1"/>
                <w:spacing w:val="-2"/>
                <w:sz w:val="20"/>
                <w:szCs w:val="20"/>
                <w:bCs w:val="1"/>
              </w:rPr>
              <w:t>condição</w:t>
            </w:r>
          </w:p>
        </w:tc>
        <w:tc>
          <w:tcPr>
            <w:tcW w:w="2552" w:type="dxa"/>
            <w:shd w:val="clear" w:color="auto" w:fill="E7ECF1"/>
            <w:vAlign w:val="center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sz w:val="20"/>
                <w:szCs w:val="20"/>
                <w:bCs w:val="1"/>
              </w:rPr>
              <w:t>Responsável</w:t>
            </w:r>
            <w:r>
              <w:rPr>
                <w:rFonts w:ascii="Times New Roman" w:hAnsi="Times New Roman" w:eastAsia="Times New Roman" w:cs="Times New Roman"/>
                <w:b w:val="1"/>
                <w:spacing w:val="-4"/>
                <w:sz w:val="20"/>
                <w:szCs w:val="20"/>
                <w:bCs w:val="1"/>
              </w:rPr>
              <w:t> </w:t>
            </w:r>
            <w:r>
              <w:rPr>
                <w:rFonts w:ascii="Times New Roman" w:hAnsi="Times New Roman" w:eastAsia="Times New Roman" w:cs="Times New Roman"/>
                <w:b w:val="1"/>
                <w:sz w:val="20"/>
                <w:szCs w:val="20"/>
                <w:bCs w:val="1"/>
              </w:rPr>
              <w:t>e</w:t>
            </w:r>
            <w:r>
              <w:rPr>
                <w:rFonts w:ascii="Times New Roman" w:hAnsi="Times New Roman" w:eastAsia="Times New Roman" w:cs="Times New Roman"/>
                <w:b w:val="1"/>
                <w:spacing w:val="-1"/>
                <w:sz w:val="20"/>
                <w:szCs w:val="20"/>
                <w:bCs w:val="1"/>
              </w:rPr>
              <w:t> </w:t>
            </w:r>
            <w:r>
              <w:rPr>
                <w:rFonts w:ascii="Times New Roman" w:hAnsi="Times New Roman" w:eastAsia="Times New Roman" w:cs="Times New Roman"/>
                <w:b w:val="1"/>
                <w:spacing w:val="-2"/>
                <w:sz w:val="20"/>
                <w:szCs w:val="20"/>
                <w:bCs w:val="1"/>
              </w:rPr>
              <w:t>canal</w:t>
            </w:r>
          </w:p>
        </w:tc>
      </w:tr>
      <w:tr>
        <w:trPr/>
        <w:tc>
          <w:tcPr>
            <w:tcW w:w="2324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TI,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gestores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funções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operacionais</w:t>
            </w:r>
          </w:p>
        </w:tc>
        <w:tc>
          <w:tcPr>
            <w:tcW w:w="4765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Serviços afetados, início do evento, restrições, prioridades e decisões necessárias.</w:t>
            </w:r>
          </w:p>
        </w:tc>
        <w:tc>
          <w:tcPr>
            <w:tcW w:w="2552" w:type="dxa"/>
            <w:vAlign w:val="top"/>
          </w:tcPr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Coordenação do PCN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 TI; usar canal corporativo principal e lista/canal alternativo previamente definido. Acionar quando houver incidente relevante e registrar decisões e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atualizações.</w:t>
            </w:r>
          </w:p>
        </w:tc>
      </w:tr>
      <w:tr>
        <w:trPr/>
        <w:tc>
          <w:tcPr>
            <w:tcW w:w="2324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tabs>
                <w:tab w:pos="1523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Passageiros, quando afetados</w:t>
            </w:r>
          </w:p>
        </w:tc>
        <w:tc>
          <w:tcPr>
            <w:tcW w:w="4765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Informação</w:t>
            </w:r>
            <w:r>
              <w:rPr>
                <w:rFonts w:ascii="Times New Roman" w:hAnsi="Times New Roman" w:eastAsia="Times New Roman" w:cs="Times New Roman"/>
                <w:spacing w:val="80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confirmada</w:t>
            </w:r>
            <w:r>
              <w:rPr>
                <w:rFonts w:ascii="Times New Roman" w:hAnsi="Times New Roman" w:eastAsia="Times New Roman" w:cs="Times New Roman"/>
                <w:spacing w:val="80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sobre</w:t>
            </w:r>
            <w:r>
              <w:rPr>
                <w:rFonts w:ascii="Times New Roman" w:hAnsi="Times New Roman" w:eastAsia="Times New Roman" w:cs="Times New Roman"/>
                <w:spacing w:val="80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80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serviço</w:t>
            </w:r>
            <w:r>
              <w:rPr>
                <w:rFonts w:ascii="Times New Roman" w:hAnsi="Times New Roman" w:eastAsia="Times New Roman" w:cs="Times New Roman"/>
                <w:spacing w:val="80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orientações aprovadas para atendimento.</w:t>
            </w:r>
          </w:p>
        </w:tc>
        <w:tc>
          <w:tcPr>
            <w:tcW w:w="2552" w:type="dxa"/>
            <w:shd w:val="clear" w:color="auto" w:fill="F7F8F9"/>
            <w:vAlign w:val="top"/>
          </w:tcPr>
          <w:p>
            <w:pPr>
              <w:pStyle w:val="TableParagraph"/>
              <w:keepLines/>
              <w:tabs>
                <w:tab w:pos="2230" w:val="left" w:leader="none"/>
              </w:tabs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Função de comunicação ou atendimento, após aprovação da coordenação; usar site, aplicativo, central de atendimento ou outro canal oficial disponível. Informar apenas o impacto confirmado e as orientações aprovadas.</w:t>
            </w:r>
          </w:p>
        </w:tc>
      </w:tr>
      <w:tr>
        <w:trPr/>
        <w:tc>
          <w:tcPr>
            <w:tcW w:w="2324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Fornecedores</w:t>
            </w:r>
          </w:p>
        </w:tc>
        <w:tc>
          <w:tcPr>
            <w:tcW w:w="4765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Solicitação de suporte, evidências pertinentes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 condições de acesso autorizado.</w:t>
            </w:r>
          </w:p>
        </w:tc>
        <w:tc>
          <w:tcPr>
            <w:tcW w:w="2552" w:type="dxa"/>
            <w:vAlign w:val="top"/>
          </w:tcPr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Gestor do contrato e TI; usar o canal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oficial previsto no contrato e alternativa previamente validada. Compartilhar somente as informações necessárias e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não</w:t>
            </w: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liberar acesso sem aprovação.</w:t>
            </w:r>
          </w:p>
        </w:tc>
      </w:tr>
      <w:tr>
        <w:trPr/>
        <w:tc>
          <w:tcPr>
            <w:tcW w:w="2324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ANAC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DECEA</w:t>
            </w:r>
          </w:p>
        </w:tc>
        <w:tc>
          <w:tcPr>
            <w:tcW w:w="4765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Comunicação conforme a situação e os requisitos aplicáveis, que devem ser verificados em fontes oficiais.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/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/>
            </w:r>
          </w:p>
        </w:tc>
        <w:tc>
          <w:tcPr>
            <w:tcW w:w="2552" w:type="dxa"/>
            <w:shd w:val="clear" w:color="auto" w:fill="F7F8F9"/>
            <w:vAlign w:val="top"/>
          </w:tcPr>
          <w:p>
            <w:pPr>
              <w:pStyle w:val="TableParagraph"/>
              <w:keepLines/>
              <w:tabs>
                <w:tab w:pos="1416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Gestor operacional ou função regulatória designada pela direção, com apoio técnico; utilizar canais oficiais confirmados e avaliar a comunicação conforme o evento e as regras aplicáveis.</w:t>
            </w:r>
          </w:p>
        </w:tc>
      </w:tr>
      <w:tr>
        <w:trPr/>
        <w:tc>
          <w:tcPr>
            <w:tcW w:w="2324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tabs>
                <w:tab w:pos="1016" w:val="left" w:leader="none"/>
                <w:tab w:pos="1398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ANPD e titulares, quando aplicável</w:t>
            </w:r>
          </w:p>
        </w:tc>
        <w:tc>
          <w:tcPr>
            <w:tcW w:w="4765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Avaliar obrigações de comunicação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de incidente</w:t>
            </w:r>
            <w:r>
              <w:rPr>
                <w:rFonts w:ascii="Times New Roman" w:hAnsi="Times New Roman" w:eastAsia="Times New Roman" w:cs="Times New Roman"/>
                <w:spacing w:val="-8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com</w:t>
            </w:r>
            <w:r>
              <w:rPr>
                <w:rFonts w:ascii="Times New Roman" w:hAnsi="Times New Roman" w:eastAsia="Times New Roman" w:cs="Times New Roman"/>
                <w:spacing w:val="-8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dados</w:t>
            </w:r>
            <w:r>
              <w:rPr>
                <w:rFonts w:ascii="Times New Roman" w:hAnsi="Times New Roman" w:eastAsia="Times New Roman" w:cs="Times New Roman"/>
                <w:spacing w:val="-8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pessoais</w:t>
            </w:r>
            <w:r>
              <w:rPr>
                <w:rFonts w:ascii="Times New Roman" w:hAnsi="Times New Roman" w:eastAsia="Times New Roman" w:cs="Times New Roman"/>
                <w:spacing w:val="-8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8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regulamentação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vigente.</w:t>
            </w:r>
          </w:p>
        </w:tc>
        <w:tc>
          <w:tcPr>
            <w:tcW w:w="2552" w:type="dxa"/>
            <w:vAlign w:val="top"/>
          </w:tcPr>
          <w:p>
            <w:pPr>
              <w:pStyle w:val="TableParagraph"/>
              <w:keepLines/>
              <w:tabs>
                <w:tab w:pos="1044" w:val="left" w:leader="none"/>
                <w:tab w:pos="1412" w:val="left" w:leader="none"/>
                <w:tab w:pos="2215" w:val="left" w:leader="none"/>
                <w:tab w:pos="2349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Função responsável por privacidade e proteção de dados, com apoio jurídico ou administrativo designado; avaliar a necessidade de comunicação à ANPD e aos titulares conforme o caso e as regras vigentes, registrando a decisão.</w:t>
            </w:r>
          </w:p>
        </w:tc>
      </w:tr>
    </w:tbl>
    <w:p>
      <w:pPr>
        <w:pStyle w:val="BodyText"/>
        <w:keepNext w:val="0"/>
        <w:keepLines w:val="0"/>
        <w:widowControl/>
        <w:spacing w:before="100" w:after="0" w:line="360" w:lineRule="auto"/>
        <w:ind w:left="428" w:right="428" w:firstLine="1132"/>
        <w:jc w:val="both"/>
      </w:pPr>
    </w:p>
    <w:p>
      <w:pPr>
        <w:pStyle w:val="BodyText"/>
        <w:keepNext w:val="0"/>
        <w:keepLines w:val="0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Modelo de mensagem: “Foi identificada uma interrupção em [serviço], às [data e horário].</w:t>
      </w:r>
      <w:r>
        <w:rPr>
          <w:spacing w:val="-10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O</w:t>
      </w:r>
      <w:r>
        <w:rPr>
          <w:spacing w:val="-10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impacto</w:t>
      </w:r>
      <w:r>
        <w:rPr>
          <w:spacing w:val="-10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confirmado</w:t>
      </w:r>
      <w:r>
        <w:rPr>
          <w:spacing w:val="-10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é</w:t>
      </w:r>
      <w:r>
        <w:rPr>
          <w:spacing w:val="-10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[descrição].</w:t>
      </w:r>
      <w:r>
        <w:rPr>
          <w:spacing w:val="-1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spacing w:val="-10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função</w:t>
      </w:r>
      <w:r>
        <w:rPr>
          <w:spacing w:val="-10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[responsável</w:t>
      </w:r>
      <w:r>
        <w:rPr>
          <w:spacing w:val="-10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organizacional]</w:t>
      </w:r>
      <w:r>
        <w:rPr>
          <w:spacing w:val="-10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coordena [medidas em andamento]. Para orientações, utilize [canal aprovado]. A próxima atualização será feita em [horário previsto].” Não divulgar informações não confirmadas nem detalhes técnicos sensíveis.</w:t>
      </w:r>
    </w:p>
    <w:p>
      <w:pPr>
        <w:pStyle w:val="BodyText"/>
        <w:keepNext w:val="0"/>
        <w:keepLines w:val="0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Antes da ativação, a Coordenação do PCN deverá confirmar os canais principal e alternativo e manter a lista de contatos atualizada. Para ANAC, DECEA e ANPD, as funções responsáveis deverão verificar os canais oficiais e as obrigações aplicáveis ao incidente. A decisão sobre cada comunicação deverá ser registrada.</w:t>
      </w:r>
    </w:p>
    <w:p>
      <w:pPr>
        <w:pStyle w:val="BodyText"/>
        <w:keepNext w:val="0"/>
        <w:keepLines w:val="0"/>
        <w:widowControl/>
        <w:spacing w:after="0" w:line="360" w:lineRule="auto" w:before="100"/>
        <w:ind w:left="428" w:right="428" w:firstLine="1132"/>
        <w:jc w:val="both"/>
        <w:sectPr>
          <w:type w:val="continuous"/>
          <w:pgSz w:w="11910" w:h="16840"/>
          <w:pgMar w:header="0" w:footer="538" w:top="1660" w:bottom="760" w:left="1275" w:right="708"/>
        </w:sectPr>
      </w:pPr>
    </w:p>
    <w:p>
      <w:pPr>
        <w:pStyle w:val="Heading1"/>
        <w:keepNext/>
        <w:keepLines/>
        <w:numPr>
          <w:ilvl w:val="0"/>
          <w:numId w:val="1"/>
        </w:numPr>
        <w:tabs>
          <w:tab w:pos="858" w:val="left" w:leader="none"/>
        </w:tabs>
        <w:spacing w:line="240" w:lineRule="auto" w:before="200" w:after="0"/>
        <w:ind w:left="858" w:right="0" w:hanging="431"/>
        <w:jc w:val="both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Papéis</w:t>
      </w:r>
      <w:r>
        <w:rPr>
          <w:spacing w:val="-3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e </w:t>
      </w: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Responsabilidades</w:t>
      </w:r>
    </w:p>
    <w:p>
      <w:pPr>
        <w:pStyle w:val="BodyText"/>
        <w:keepNext w:val="0"/>
        <w:keepLines w:val="0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 execução do PCN deverá ser coordenada pela função designada pela Alta Administração. Os papéis abaixo compõem a estrutura de resposta do PCN e devem permanecer alinhados à PSI e à PGR. As decisões sobre segurança e retomada das operações aéreas permanecem com as funções operacionais competentes.</w:t>
      </w:r>
    </w:p>
    <w:p>
      <w:pPr>
        <w:pStyle w:val="BodyText"/>
        <w:keepNext w:val="0"/>
        <w:keepLines w:val="0"/>
        <w:widowControl/>
        <w:spacing w:before="100" w:after="0" w:line="360" w:lineRule="auto"/>
        <w:ind w:left="428" w:right="428" w:firstLine="1132"/>
        <w:jc w:val="both"/>
        <w:rPr>
          <w:sz w:val="8"/>
        </w:rPr>
      </w:pPr>
    </w:p>
    <w:tbl>
      <w:tblPr>
        <w:tblW w:w="0" w:type="auto"/>
        <w:jc w:val="left"/>
        <w:tblInd w:w="146" w:type="dxa"/>
        <w:tblLayout w:type="fixed"/>
        <w:tblLook w:val="01E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268"/>
        <w:gridCol w:w="3971"/>
        <w:gridCol w:w="3402"/>
      </w:tblGrid>
      <w:tr>
        <w:trPr/>
        <w:tc>
          <w:tcPr>
            <w:tcW w:w="2268" w:type="dxa"/>
            <w:shd w:val="clear" w:color="auto" w:fill="E7ECF1"/>
            <w:vAlign w:val="center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spacing w:val="-4"/>
                <w:sz w:val="20"/>
                <w:szCs w:val="20"/>
                <w:bCs w:val="1"/>
              </w:rPr>
              <w:t>Ação</w:t>
            </w:r>
          </w:p>
        </w:tc>
        <w:tc>
          <w:tcPr>
            <w:tcW w:w="3971" w:type="dxa"/>
            <w:shd w:val="clear" w:color="auto" w:fill="E7ECF1"/>
            <w:vAlign w:val="center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sz w:val="20"/>
                <w:szCs w:val="20"/>
                <w:bCs w:val="1"/>
              </w:rPr>
              <w:t>Função responsável</w:t>
            </w:r>
          </w:p>
        </w:tc>
        <w:tc>
          <w:tcPr>
            <w:tcW w:w="3402" w:type="dxa"/>
            <w:shd w:val="clear" w:color="auto" w:fill="E7ECF1"/>
            <w:vAlign w:val="center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sz w:val="20"/>
                <w:szCs w:val="20"/>
                <w:bCs w:val="1"/>
              </w:rPr>
              <w:t>Decisão</w:t>
            </w:r>
            <w:r>
              <w:rPr>
                <w:rFonts w:ascii="Times New Roman" w:hAnsi="Times New Roman" w:eastAsia="Times New Roman" w:cs="Times New Roman"/>
                <w:b w:val="1"/>
                <w:spacing w:val="-2"/>
                <w:sz w:val="20"/>
                <w:szCs w:val="20"/>
                <w:bCs w:val="1"/>
              </w:rPr>
              <w:t> </w:t>
            </w:r>
            <w:r>
              <w:rPr>
                <w:rFonts w:ascii="Times New Roman" w:hAnsi="Times New Roman" w:eastAsia="Times New Roman" w:cs="Times New Roman"/>
                <w:b w:val="1"/>
                <w:sz w:val="20"/>
                <w:szCs w:val="20"/>
                <w:bCs w:val="1"/>
              </w:rPr>
              <w:t>a</w:t>
            </w:r>
            <w:r>
              <w:rPr>
                <w:rFonts w:ascii="Times New Roman" w:hAnsi="Times New Roman" w:eastAsia="Times New Roman" w:cs="Times New Roman"/>
                <w:b w:val="1"/>
                <w:spacing w:val="-1"/>
                <w:sz w:val="20"/>
                <w:szCs w:val="20"/>
                <w:bCs w:val="1"/>
              </w:rPr>
              <w:t> </w:t>
            </w:r>
            <w:r>
              <w:rPr>
                <w:rFonts w:ascii="Times New Roman" w:hAnsi="Times New Roman" w:eastAsia="Times New Roman" w:cs="Times New Roman"/>
                <w:b w:val="1"/>
                <w:spacing w:val="-2"/>
                <w:sz w:val="20"/>
                <w:szCs w:val="20"/>
                <w:bCs w:val="1"/>
              </w:rPr>
              <w:t>registrar</w:t>
            </w:r>
          </w:p>
        </w:tc>
      </w:tr>
      <w:tr>
        <w:trPr/>
        <w:tc>
          <w:tcPr>
            <w:tcW w:w="2268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Ativar</w:t>
            </w:r>
            <w:r>
              <w:rPr>
                <w:rFonts w:ascii="Times New Roman" w:hAnsi="Times New Roman" w:eastAsia="Times New Roman" w:cs="Times New Roman"/>
                <w:spacing w:val="21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24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coordenar</w:t>
            </w:r>
            <w:r>
              <w:rPr>
                <w:rFonts w:ascii="Times New Roman" w:hAnsi="Times New Roman" w:eastAsia="Times New Roman" w:cs="Times New Roman"/>
                <w:spacing w:val="22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o 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  <w:szCs w:val="20"/>
              </w:rPr>
              <w:t>PCN</w:t>
            </w:r>
          </w:p>
        </w:tc>
        <w:tc>
          <w:tcPr>
            <w:tcW w:w="3971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tabs>
                <w:tab w:pos="1231" w:val="left" w:leader="none"/>
                <w:tab w:pos="2629" w:val="left" w:leader="none"/>
                <w:tab w:pos="3464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Função designada pela Alta Administração (coordenação do PCN)</w:t>
            </w:r>
          </w:p>
        </w:tc>
        <w:tc>
          <w:tcPr>
            <w:tcW w:w="3402" w:type="dxa"/>
            <w:vAlign w:val="top"/>
          </w:tcPr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Ativar quando o impacto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atingir processo crítico ou exigir coordenação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entre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áreas;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registrar motivo, horário e cenários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acionados.</w:t>
            </w:r>
          </w:p>
        </w:tc>
      </w:tr>
      <w:tr>
        <w:trPr/>
        <w:tc>
          <w:tcPr>
            <w:tcW w:w="2268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tabs>
                <w:tab w:pos="1179" w:val="left" w:leader="none"/>
                <w:tab w:pos="2070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Decidir sobre a operação</w:t>
            </w:r>
          </w:p>
        </w:tc>
        <w:tc>
          <w:tcPr>
            <w:tcW w:w="3971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tabs>
                <w:tab w:pos="940" w:val="left" w:leader="none"/>
                <w:tab w:pos="1377" w:val="left" w:leader="none"/>
                <w:tab w:pos="2549" w:val="left" w:leader="none"/>
                <w:tab w:pos="2866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Gestor de operações e autoridade operacional competente</w:t>
            </w:r>
          </w:p>
        </w:tc>
        <w:tc>
          <w:tcPr>
            <w:tcW w:w="3402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Definir quais atividades podem continuar, quais ficam restritas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 quais condições são necessárias para a retomada; não autorizar operação sem condições de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segurança.</w:t>
            </w:r>
          </w:p>
        </w:tc>
      </w:tr>
      <w:tr>
        <w:trPr/>
        <w:tc>
          <w:tcPr>
            <w:tcW w:w="2268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Recuperar tecnicamente</w:t>
            </w:r>
          </w:p>
        </w:tc>
        <w:tc>
          <w:tcPr>
            <w:tcW w:w="3971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tabs>
                <w:tab w:pos="525" w:val="left" w:leader="none"/>
                <w:tab w:pos="1463" w:val="left" w:leader="none"/>
                <w:tab w:pos="2808" w:val="left" w:leader="none"/>
                <w:tab w:pos="3710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TI interna, responsável técnico e, quando aprovado, suporte externo</w:t>
            </w:r>
          </w:p>
        </w:tc>
        <w:tc>
          <w:tcPr>
            <w:tcW w:w="3402" w:type="dxa"/>
            <w:vAlign w:val="top"/>
          </w:tcPr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Autorizar e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documentar intervenções, limitar acessos, preservar evidências e registrar testes, resultados e pendências.</w:t>
            </w:r>
          </w:p>
        </w:tc>
      </w:tr>
      <w:tr>
        <w:trPr/>
        <w:tc>
          <w:tcPr>
            <w:tcW w:w="2268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Comunicar</w:t>
            </w:r>
          </w:p>
        </w:tc>
        <w:tc>
          <w:tcPr>
            <w:tcW w:w="3971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Função</w:t>
            </w:r>
            <w:r>
              <w:rPr>
                <w:rFonts w:ascii="Times New Roman" w:hAnsi="Times New Roman" w:eastAsia="Times New Roman" w:cs="Times New Roman"/>
                <w:spacing w:val="80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institucional/comunicação</w:t>
            </w:r>
            <w:r>
              <w:rPr>
                <w:rFonts w:ascii="Times New Roman" w:hAnsi="Times New Roman" w:eastAsia="Times New Roman" w:cs="Times New Roman"/>
                <w:spacing w:val="80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ou atendimento designada pela direção</w:t>
            </w:r>
          </w:p>
        </w:tc>
        <w:tc>
          <w:tcPr>
            <w:tcW w:w="3402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Aprovar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conteúdo,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destinatários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 canais; divulgar somente informação confirmada e manter registro das atualizações.</w:t>
            </w:r>
          </w:p>
        </w:tc>
      </w:tr>
      <w:tr>
        <w:trPr/>
        <w:tc>
          <w:tcPr>
            <w:tcW w:w="2268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Autorizar</w:t>
            </w:r>
            <w:r>
              <w:rPr>
                <w:rFonts w:ascii="Times New Roman" w:hAnsi="Times New Roman" w:eastAsia="Times New Roman" w:cs="Times New Roman"/>
                <w:spacing w:val="-3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retorno</w:t>
            </w:r>
          </w:p>
        </w:tc>
        <w:tc>
          <w:tcPr>
            <w:tcW w:w="3971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Responsáveis</w:t>
            </w:r>
            <w:r>
              <w:rPr>
                <w:rFonts w:ascii="Times New Roman" w:hAnsi="Times New Roman" w:eastAsia="Times New Roman" w:cs="Times New Roman"/>
                <w:spacing w:val="29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técnicos</w:t>
            </w:r>
            <w:r>
              <w:rPr>
                <w:rFonts w:ascii="Times New Roman" w:hAnsi="Times New Roman" w:eastAsia="Times New Roman" w:cs="Times New Roman"/>
                <w:spacing w:val="31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30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operacionais; coordenação registra o encerramento</w:t>
            </w:r>
          </w:p>
        </w:tc>
        <w:tc>
          <w:tcPr>
            <w:tcW w:w="3402" w:type="dxa"/>
            <w:vAlign w:val="top"/>
          </w:tcPr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Confirmar integridade técnica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 condições operacionais, registrar quem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aprovou,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horário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do</w:t>
            </w:r>
            <w:r>
              <w:rPr>
                <w:rFonts w:ascii="Times New Roman" w:hAnsi="Times New Roman" w:eastAsia="Times New Roman" w:cs="Times New Roman"/>
                <w:spacing w:val="-15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retorno e pendências remanescentes.</w:t>
            </w:r>
          </w:p>
        </w:tc>
      </w:tr>
    </w:tbl>
    <w:p>
      <w:pPr>
        <w:pStyle w:val="BodyText"/>
        <w:keepNext w:val="0"/>
        <w:keepLines w:val="0"/>
        <w:widowControl/>
        <w:spacing w:before="100" w:after="0" w:line="360" w:lineRule="auto"/>
        <w:ind w:left="428" w:right="428" w:firstLine="1132"/>
        <w:jc w:val="both"/>
      </w:pPr>
    </w:p>
    <w:p>
      <w:pPr>
        <w:pStyle w:val="BodyText"/>
        <w:keepNext w:val="0"/>
        <w:keepLines w:val="0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 Alta Administração deve designar os titulares e substitutos de cada função e manter seus contatos atualizados. Uma pessoa poderá acumular atribuições quando isso não gerar conflito entre as atividades de execução, validação e autorização das decisões.</w:t>
      </w:r>
    </w:p>
    <w:p>
      <w:pPr>
        <w:pStyle w:val="Heading1"/>
        <w:keepNext/>
        <w:keepLines/>
        <w:pageBreakBefore/>
        <w:numPr>
          <w:ilvl w:val="0"/>
          <w:numId w:val="1"/>
        </w:numPr>
        <w:tabs>
          <w:tab w:pos="858" w:val="left" w:leader="none"/>
        </w:tabs>
        <w:spacing w:line="240" w:lineRule="auto" w:before="200" w:after="0"/>
        <w:ind w:left="858" w:right="0" w:hanging="431"/>
        <w:jc w:val="both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Testes</w:t>
      </w: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e</w:t>
      </w: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 Revisão</w:t>
      </w:r>
    </w:p>
    <w:p>
      <w:pPr>
        <w:pStyle w:val="BodyText"/>
        <w:keepNext w:val="0"/>
        <w:keepLines w:val="0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O PCN deverá ser testado por exercícios controlados e revisto após incidentes, falhas nos testes ou mudanças relevantes. Os testes ocorrerão em condições controladas, sem comprometer sistemas ou operações reais de voo, e gerarão registros do cenário, dos participantes, dos resultados, das falhas, das ações corretivas, dos responsáveis e da próxima verificação.</w:t>
      </w:r>
    </w:p>
    <w:p>
      <w:pPr>
        <w:pStyle w:val="BodyText"/>
        <w:keepNext w:val="0"/>
        <w:keepLines w:val="0"/>
        <w:widowControl/>
        <w:spacing w:before="100" w:after="0" w:line="360" w:lineRule="auto"/>
        <w:ind w:left="428" w:right="428" w:firstLine="1132"/>
        <w:jc w:val="both"/>
        <w:rPr>
          <w:sz w:val="8"/>
        </w:rPr>
      </w:pPr>
    </w:p>
    <w:tbl>
      <w:tblPr>
        <w:tblW w:w="0" w:type="auto"/>
        <w:jc w:val="left"/>
        <w:tblInd w:w="149" w:type="dxa"/>
        <w:tblLayout w:type="fixed"/>
        <w:tblLook w:val="01E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381"/>
        <w:gridCol w:w="4762"/>
        <w:gridCol w:w="2497"/>
      </w:tblGrid>
      <w:tr>
        <w:trPr/>
        <w:tc>
          <w:tcPr>
            <w:tcW w:w="2381" w:type="dxa"/>
            <w:shd w:val="clear" w:color="auto" w:fill="E7ECF1"/>
            <w:vAlign w:val="center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sz w:val="20"/>
                <w:szCs w:val="20"/>
                <w:bCs w:val="1"/>
              </w:rPr>
              <w:t>Exercício</w:t>
            </w:r>
          </w:p>
        </w:tc>
        <w:tc>
          <w:tcPr>
            <w:tcW w:w="4762" w:type="dxa"/>
            <w:shd w:val="clear" w:color="auto" w:fill="E7ECF1"/>
            <w:vAlign w:val="center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sz w:val="20"/>
                <w:szCs w:val="20"/>
                <w:bCs w:val="1"/>
              </w:rPr>
              <w:t>Objetivo</w:t>
            </w:r>
            <w:r>
              <w:rPr>
                <w:rFonts w:ascii="Times New Roman" w:hAnsi="Times New Roman" w:eastAsia="Times New Roman" w:cs="Times New Roman"/>
                <w:b w:val="1"/>
                <w:spacing w:val="-1"/>
                <w:sz w:val="20"/>
                <w:szCs w:val="20"/>
                <w:bCs w:val="1"/>
              </w:rPr>
              <w:t> </w:t>
            </w:r>
            <w:r>
              <w:rPr>
                <w:rFonts w:ascii="Times New Roman" w:hAnsi="Times New Roman" w:eastAsia="Times New Roman" w:cs="Times New Roman"/>
                <w:b w:val="1"/>
                <w:sz w:val="20"/>
                <w:szCs w:val="20"/>
                <w:bCs w:val="1"/>
              </w:rPr>
              <w:t>/ </w:t>
            </w:r>
            <w:r>
              <w:rPr>
                <w:rFonts w:ascii="Times New Roman" w:hAnsi="Times New Roman" w:eastAsia="Times New Roman" w:cs="Times New Roman"/>
                <w:b w:val="1"/>
                <w:spacing w:val="-2"/>
                <w:sz w:val="20"/>
                <w:szCs w:val="20"/>
                <w:bCs w:val="1"/>
              </w:rPr>
              <w:t>cenário</w:t>
            </w:r>
          </w:p>
        </w:tc>
        <w:tc>
          <w:tcPr>
            <w:tcW w:w="2497" w:type="dxa"/>
            <w:shd w:val="clear" w:color="auto" w:fill="E7ECF1"/>
            <w:vAlign w:val="center"/>
          </w:tcPr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sz w:val="20"/>
                <w:szCs w:val="20"/>
                <w:bCs w:val="1"/>
              </w:rPr>
              <w:t>Detalhamento operacional</w:t>
            </w:r>
          </w:p>
        </w:tc>
      </w:tr>
      <w:tr>
        <w:trPr/>
        <w:tc>
          <w:tcPr>
            <w:tcW w:w="2381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Simulação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  <w:szCs w:val="20"/>
              </w:rPr>
              <w:t>mesa</w:t>
            </w:r>
          </w:p>
        </w:tc>
        <w:tc>
          <w:tcPr>
            <w:tcW w:w="4762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Percorrer C01 a C04 e conferir decisões, contatos e dependências, sem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interromper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operações.</w:t>
            </w:r>
          </w:p>
        </w:tc>
        <w:tc>
          <w:tcPr>
            <w:tcW w:w="2497" w:type="dxa"/>
            <w:vAlign w:val="top"/>
          </w:tcPr>
          <w:p>
            <w:pPr>
              <w:pStyle w:val="TableParagraph"/>
              <w:keepLines/>
              <w:tabs>
                <w:tab w:pos="1118" w:val="left" w:leader="none"/>
                <w:tab w:pos="1283" w:val="left" w:leader="none"/>
                <w:tab w:pos="1377" w:val="left" w:leader="none"/>
                <w:tab w:pos="1456" w:val="left" w:leader="none"/>
                <w:tab w:pos="1509" w:val="left" w:leader="none"/>
                <w:tab w:pos="1657" w:val="left" w:leader="none"/>
                <w:tab w:pos="1770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Responsáveis: coordenação do PCN, TI e áreas operacionais. Frequência: semestral. Evidência: ata, participantes, decisões e falhas. Aprovação: funções críticas identificadas, decisões registradas e ações corretivas atribuídas.</w:t>
            </w:r>
          </w:p>
        </w:tc>
      </w:tr>
      <w:tr>
        <w:trPr/>
        <w:tc>
          <w:tcPr>
            <w:tcW w:w="2381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tabs>
                <w:tab w:pos="1408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Teste de restauração em ambiente apropriado</w:t>
            </w:r>
          </w:p>
        </w:tc>
        <w:tc>
          <w:tcPr>
            <w:tcW w:w="4762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Verificar uma cópia, restaurar dados de teste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 conferir integridade.</w:t>
            </w:r>
          </w:p>
        </w:tc>
        <w:tc>
          <w:tcPr>
            <w:tcW w:w="2497" w:type="dxa"/>
            <w:shd w:val="clear" w:color="auto" w:fill="F7F8F9"/>
            <w:vAlign w:val="top"/>
          </w:tcPr>
          <w:p>
            <w:pPr>
              <w:pStyle w:val="TableParagraph"/>
              <w:keepLines/>
              <w:tabs>
                <w:tab w:pos="2296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Recurso: cópia de teste ou offline em ambiente apropriado. Responsáveis: TI e responsável pelo processo ou pelos dados. Frequência: trimestral e após mudanças relevantes. Evidência: registro da restauração e da verificação de integridade. Aprovação: dados de teste recuperados e conferidos sem afetar a produção.</w:t>
            </w:r>
          </w:p>
        </w:tc>
      </w:tr>
      <w:tr>
        <w:trPr/>
        <w:tc>
          <w:tcPr>
            <w:tcW w:w="2381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Teste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 comunicação</w:t>
            </w:r>
          </w:p>
        </w:tc>
        <w:tc>
          <w:tcPr>
            <w:tcW w:w="4762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Verificar</w:t>
            </w:r>
            <w:r>
              <w:rPr>
                <w:rFonts w:ascii="Times New Roman" w:hAnsi="Times New Roman" w:eastAsia="Times New Roman" w:cs="Times New Roman"/>
                <w:spacing w:val="80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acionamento</w:t>
            </w:r>
            <w:r>
              <w:rPr>
                <w:rFonts w:ascii="Times New Roman" w:hAnsi="Times New Roman" w:eastAsia="Times New Roman" w:cs="Times New Roman"/>
                <w:spacing w:val="80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interno</w:t>
            </w:r>
            <w:r>
              <w:rPr>
                <w:rFonts w:ascii="Times New Roman" w:hAnsi="Times New Roman" w:eastAsia="Times New Roman" w:cs="Times New Roman"/>
                <w:spacing w:val="80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80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alternativa quando o canal principal falhar.</w:t>
            </w:r>
          </w:p>
        </w:tc>
        <w:tc>
          <w:tcPr>
            <w:tcW w:w="2497" w:type="dxa"/>
            <w:vAlign w:val="top"/>
          </w:tcPr>
          <w:p>
            <w:pPr>
              <w:pStyle w:val="TableParagraph"/>
              <w:keepLines/>
              <w:tabs>
                <w:tab w:pos="1019" w:val="left" w:leader="none"/>
                <w:tab w:pos="1286" w:val="left" w:leader="none"/>
                <w:tab w:pos="1316" w:val="left" w:leader="none"/>
                <w:tab w:pos="1425" w:val="left" w:leader="none"/>
                <w:tab w:pos="1804" w:val="left" w:leader="none"/>
                <w:tab w:pos="1910" w:val="left" w:leader="none"/>
                <w:tab w:pos="2296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Responsáveis: coordenação do PCN, TI e áreas que usam os canais. Frequência: trimestral. Evidência: registro dos contatos e canais testados. Aprovação: o canal principal e o canal alternativo funcionam, os contatos estão atualizados e as falhas têm responsável definido.</w:t>
            </w:r>
          </w:p>
        </w:tc>
      </w:tr>
      <w:tr>
        <w:trPr/>
        <w:tc>
          <w:tcPr>
            <w:tcW w:w="2381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Revisão</w:t>
            </w:r>
            <w:r>
              <w:rPr>
                <w:rFonts w:ascii="Times New Roman" w:hAnsi="Times New Roman" w:eastAsia="Times New Roman" w:cs="Times New Roman"/>
                <w:spacing w:val="80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após</w:t>
            </w:r>
            <w:r>
              <w:rPr>
                <w:rFonts w:ascii="Times New Roman" w:hAnsi="Times New Roman" w:eastAsia="Times New Roman" w:cs="Times New Roman"/>
                <w:spacing w:val="80"/>
                <w:sz w:val="20"/>
                <w:szCs w:val="20"/>
              </w:rPr>
              <w:t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evento ou mudança</w:t>
            </w:r>
          </w:p>
        </w:tc>
        <w:tc>
          <w:tcPr>
            <w:tcW w:w="4762" w:type="dxa"/>
            <w:shd w:val="clear" w:color="auto" w:fill="F7F8F9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24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Atualizar cenários, prioridades e recursos e comunicar as mudanças às áreas responsáveis.</w:t>
            </w:r>
          </w:p>
        </w:tc>
        <w:tc>
          <w:tcPr>
            <w:tcW w:w="2497" w:type="dxa"/>
            <w:shd w:val="clear" w:color="auto" w:fill="F7F8F9"/>
            <w:vAlign w:val="top"/>
          </w:tcPr>
          <w:p>
            <w:pPr>
              <w:pStyle w:val="TableParagraph"/>
              <w:keepLines/>
              <w:tabs>
                <w:tab w:pos="1379" w:val="left" w:leader="none"/>
                <w:tab w:pos="1538" w:val="left" w:leader="none"/>
                <w:tab w:pos="1823" w:val="left" w:leader="none"/>
                <w:tab w:pos="2003" w:val="left" w:leader="none"/>
                <w:tab w:pos="2296" w:val="left" w:leader="none"/>
              </w:tabs>
              <w:spacing w:line="240" w:lineRule="auto" w:before="0" w:after="0"/>
              <w:ind w:left="88" w:right="88" w:firstLine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Gatilho: após incidente, teste ou mudança relevante e, no mínimo, anualmente. Responsáveis: coordenação do PCN, com TI, operações e responsáveis pela PSI e pela PGR. Evidência: versão revisada, aprovação e comunicação das alterações. Aprovação: ações atribuídas e áreas afetadas informadas.</w:t>
            </w:r>
          </w:p>
        </w:tc>
      </w:tr>
    </w:tbl>
    <w:p>
      <w:pPr>
        <w:pStyle w:val="BodyText"/>
        <w:keepNext w:val="0"/>
        <w:keepLines w:val="0"/>
        <w:widowControl/>
        <w:spacing w:before="100" w:after="0" w:line="360" w:lineRule="auto"/>
        <w:ind w:left="428" w:right="428" w:firstLine="1132"/>
        <w:jc w:val="both"/>
      </w:pPr>
    </w:p>
    <w:p>
      <w:pPr>
        <w:pStyle w:val="BodyText"/>
        <w:keepNext w:val="0"/>
        <w:keepLines w:val="0"/>
        <w:widowControl/>
        <w:spacing w:before="100" w:after="0" w:line="252" w:lineRule="auto"/>
        <w:ind w:left="428" w:right="350" w:firstLine="0"/>
        <w:jc w:val="left"/>
        <w:rPr>
          <w:b/>
          <w:sz w:val="24"/>
        </w:rPr>
      </w:pPr>
      <w:r>
        <w:rPr>
          <w:b/>
          <w:color w:val="404040"/>
          <w:sz w:val="24"/>
          <w:rFonts w:ascii="Times New Roman" w:hAnsi="Times New Roman" w:eastAsia="Times New Roman" w:cs="Times New Roman"/>
          <w:szCs w:val="24"/>
        </w:rPr>
        <w:t>Referências</w:t>
      </w:r>
      <w:r>
        <w:rPr>
          <w:b/>
          <w:color w:val="404040"/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color w:val="404040"/>
          <w:sz w:val="24"/>
          <w:rFonts w:ascii="Times New Roman" w:hAnsi="Times New Roman" w:eastAsia="Times New Roman" w:cs="Times New Roman"/>
          <w:szCs w:val="24"/>
        </w:rPr>
        <w:t>de</w:t>
      </w:r>
      <w:r>
        <w:rPr>
          <w:b/>
          <w:color w:val="404040"/>
          <w:spacing w:val="-2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color w:val="404040"/>
          <w:sz w:val="24"/>
          <w:rFonts w:ascii="Times New Roman" w:hAnsi="Times New Roman" w:eastAsia="Times New Roman" w:cs="Times New Roman"/>
          <w:szCs w:val="24"/>
        </w:rPr>
        <w:t>apoio</w:t>
      </w:r>
      <w:r>
        <w:rPr>
          <w:b/>
          <w:color w:val="404040"/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color w:val="404040"/>
          <w:sz w:val="24"/>
          <w:rFonts w:ascii="Times New Roman" w:hAnsi="Times New Roman" w:eastAsia="Times New Roman" w:cs="Times New Roman"/>
          <w:szCs w:val="24"/>
        </w:rPr>
        <w:t>à</w:t>
      </w:r>
      <w:r>
        <w:rPr>
          <w:b/>
          <w:color w:val="404040"/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color w:val="404040"/>
          <w:spacing w:val="-2"/>
          <w:sz w:val="24"/>
          <w:rFonts w:ascii="Times New Roman" w:hAnsi="Times New Roman" w:eastAsia="Times New Roman" w:cs="Times New Roman"/>
          <w:szCs w:val="24"/>
        </w:rPr>
        <w:t>elaboração</w:t>
      </w:r>
    </w:p>
    <w:p>
      <w:pPr>
        <w:pStyle w:val="BodyText"/>
        <w:keepNext w:val="0"/>
        <w:keepLines w:val="0"/>
        <w:widowControl/>
        <w:spacing w:before="100" w:after="0" w:line="252" w:lineRule="auto"/>
        <w:ind w:left="428" w:right="350" w:firstLine="0"/>
        <w:jc w:val="left"/>
      </w:pPr>
      <w:hyperlink r:id="rId9">
        <w:r>
          <w:rPr>
            <w:color w:val="224E6F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ANAC — Portaria</w:t>
        </w:r>
        <w:r>
          <w:rPr>
            <w:color w:val="224E6F"/>
            <w:spacing w:val="-2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 </w:t>
        </w:r>
        <w:r>
          <w:rPr>
            <w:color w:val="224E6F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nº</w:t>
        </w:r>
        <w:r>
          <w:rPr>
            <w:color w:val="224E6F"/>
            <w:spacing w:val="1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 </w:t>
        </w:r>
        <w:r>
          <w:rPr>
            <w:color w:val="224E6F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9.459/STI</w:t>
        </w:r>
        <w:r>
          <w:rPr>
            <w:color w:val="224E6F"/>
            <w:spacing w:val="-4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 </w:t>
        </w:r>
        <w:r>
          <w:rPr>
            <w:color w:val="224E6F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de</w:t>
        </w:r>
        <w:r>
          <w:rPr>
            <w:color w:val="224E6F"/>
            <w:spacing w:val="-1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 </w:t>
        </w:r>
        <w:r>
          <w:rPr>
            <w:color w:val="224E6F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6</w:t>
        </w:r>
        <w:r>
          <w:rPr>
            <w:color w:val="224E6F"/>
            <w:spacing w:val="1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 </w:t>
        </w:r>
        <w:r>
          <w:rPr>
            <w:color w:val="224E6F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de</w:t>
        </w:r>
        <w:r>
          <w:rPr>
            <w:color w:val="224E6F"/>
            <w:spacing w:val="-1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 </w:t>
        </w:r>
        <w:r>
          <w:rPr>
            <w:color w:val="224E6F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outubro de </w:t>
        </w:r>
        <w:r>
          <w:rPr>
            <w:color w:val="224E6F"/>
            <w:spacing w:val="-4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2022</w:t>
        </w:r>
      </w:hyperlink>
    </w:p>
    <w:p>
      <w:pPr>
        <w:pStyle w:val="BodyText"/>
        <w:keepNext w:val="0"/>
        <w:keepLines w:val="0"/>
        <w:widowControl/>
        <w:spacing w:line="252" w:lineRule="auto" w:before="100" w:after="0"/>
        <w:ind w:left="428" w:right="350" w:firstLine="0"/>
        <w:jc w:val="left"/>
      </w:pP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Apoio</w:t>
      </w:r>
      <w:r>
        <w:rPr>
          <w:color w:val="404040"/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para</w:t>
      </w:r>
      <w:r>
        <w:rPr>
          <w:color w:val="404040"/>
          <w:spacing w:val="-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criticidade,</w:t>
      </w:r>
      <w:r>
        <w:rPr>
          <w:color w:val="404040"/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ativação,</w:t>
      </w:r>
      <w:r>
        <w:rPr>
          <w:color w:val="404040"/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recuperação</w:t>
      </w:r>
      <w:r>
        <w:rPr>
          <w:color w:val="404040"/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color w:val="404040"/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testes.</w:t>
      </w:r>
      <w:r>
        <w:rPr>
          <w:color w:val="404040"/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Trata</w:t>
      </w:r>
      <w:r>
        <w:rPr>
          <w:color w:val="404040"/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da</w:t>
      </w:r>
      <w:r>
        <w:rPr>
          <w:color w:val="404040"/>
          <w:spacing w:val="-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gestão</w:t>
      </w:r>
      <w:r>
        <w:rPr>
          <w:color w:val="404040"/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interna</w:t>
      </w:r>
      <w:r>
        <w:rPr>
          <w:color w:val="404040"/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color w:val="404040"/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TI</w:t>
      </w:r>
      <w:r>
        <w:rPr>
          <w:color w:val="404040"/>
          <w:spacing w:val="-7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da ANAC; não é apresentada como obrigação automática de uma companhia aérea.</w:t>
      </w:r>
    </w:p>
    <w:p>
      <w:pPr>
        <w:pStyle w:val="BodyText"/>
        <w:keepNext w:val="0"/>
        <w:keepLines w:val="0"/>
        <w:widowControl/>
        <w:spacing w:before="100" w:after="0" w:line="252" w:lineRule="auto"/>
        <w:ind w:left="428" w:right="350" w:firstLine="0"/>
        <w:jc w:val="left"/>
      </w:pPr>
      <w:hyperlink r:id="rId10">
        <w:r>
          <w:rPr>
            <w:color w:val="224E6F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Kit</w:t>
        </w:r>
        <w:r>
          <w:rPr>
            <w:color w:val="224E6F"/>
            <w:spacing w:val="-1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 </w:t>
        </w:r>
        <w:r>
          <w:rPr>
            <w:color w:val="224E6F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3</w:t>
        </w:r>
        <w:r>
          <w:rPr>
            <w:color w:val="224E6F"/>
            <w:spacing w:val="-1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 </w:t>
        </w:r>
        <w:r>
          <w:rPr>
            <w:color w:val="224E6F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— Gerenciamento</w:t>
        </w:r>
        <w:r>
          <w:rPr>
            <w:color w:val="224E6F"/>
            <w:spacing w:val="1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 </w:t>
        </w:r>
        <w:r>
          <w:rPr>
            <w:color w:val="224E6F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da</w:t>
        </w:r>
        <w:r>
          <w:rPr>
            <w:color w:val="224E6F"/>
            <w:spacing w:val="-1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 </w:t>
        </w:r>
        <w:r>
          <w:rPr>
            <w:color w:val="224E6F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Continuidade</w:t>
        </w:r>
        <w:r>
          <w:rPr>
            <w:color w:val="224E6F"/>
            <w:spacing w:val="-3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 </w:t>
        </w:r>
        <w:r>
          <w:rPr>
            <w:color w:val="224E6F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dos </w:t>
        </w:r>
        <w:r>
          <w:rPr>
            <w:color w:val="224E6F"/>
            <w:spacing w:val="-2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Serviços</w:t>
        </w:r>
      </w:hyperlink>
    </w:p>
    <w:p>
      <w:pPr>
        <w:pStyle w:val="BodyText"/>
        <w:keepNext w:val="0"/>
        <w:keepLines w:val="0"/>
        <w:widowControl/>
        <w:spacing w:line="252" w:lineRule="auto" w:before="100" w:after="0"/>
        <w:ind w:left="428" w:right="350" w:firstLine="0"/>
        <w:jc w:val="left"/>
      </w:pP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SEST</w:t>
      </w:r>
      <w:r>
        <w:rPr>
          <w:color w:val="404040"/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/</w:t>
      </w:r>
      <w:r>
        <w:rPr>
          <w:color w:val="404040"/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Ministério</w:t>
      </w:r>
      <w:r>
        <w:rPr>
          <w:color w:val="404040"/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do</w:t>
      </w:r>
      <w:r>
        <w:rPr>
          <w:color w:val="404040"/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Planejamento</w:t>
      </w:r>
      <w:r>
        <w:rPr>
          <w:color w:val="404040"/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/</w:t>
      </w:r>
      <w:r>
        <w:rPr>
          <w:color w:val="404040"/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UnB,</w:t>
      </w:r>
      <w:r>
        <w:rPr>
          <w:color w:val="404040"/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2018,</w:t>
      </w:r>
      <w:r>
        <w:rPr>
          <w:color w:val="404040"/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disponível</w:t>
      </w:r>
      <w:r>
        <w:rPr>
          <w:color w:val="404040"/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no</w:t>
      </w:r>
      <w:r>
        <w:rPr>
          <w:color w:val="404040"/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portal</w:t>
      </w:r>
      <w:r>
        <w:rPr>
          <w:color w:val="404040"/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do</w:t>
      </w:r>
      <w:r>
        <w:rPr>
          <w:color w:val="404040"/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MGI.</w:t>
      </w:r>
      <w:r>
        <w:rPr>
          <w:color w:val="404040"/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Apoio</w:t>
      </w:r>
      <w:r>
        <w:rPr>
          <w:color w:val="404040"/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para recursos, atividades, responsáveis e manutenção da continuidade.</w:t>
      </w:r>
    </w:p>
    <w:p>
      <w:pPr>
        <w:pStyle w:val="BodyText"/>
        <w:keepNext w:val="0"/>
        <w:keepLines w:val="0"/>
        <w:widowControl/>
        <w:spacing w:before="100" w:after="0" w:line="252" w:lineRule="auto"/>
        <w:ind w:left="428" w:right="350" w:firstLine="0"/>
        <w:jc w:val="left"/>
      </w:pPr>
      <w:hyperlink r:id="rId11">
        <w:r>
          <w:rPr>
            <w:color w:val="224E6F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GOL</w:t>
        </w:r>
        <w:r>
          <w:rPr>
            <w:color w:val="224E6F"/>
            <w:spacing w:val="-3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 </w:t>
        </w:r>
        <w:r>
          <w:rPr>
            <w:color w:val="224E6F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—</w:t>
        </w:r>
        <w:r>
          <w:rPr>
            <w:color w:val="224E6F"/>
            <w:spacing w:val="-1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 </w:t>
        </w:r>
        <w:r>
          <w:rPr>
            <w:color w:val="224E6F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Política</w:t>
        </w:r>
        <w:r>
          <w:rPr>
            <w:color w:val="224E6F"/>
            <w:spacing w:val="-2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 </w:t>
        </w:r>
        <w:r>
          <w:rPr>
            <w:color w:val="224E6F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de</w:t>
        </w:r>
        <w:r>
          <w:rPr>
            <w:color w:val="224E6F"/>
            <w:spacing w:val="-2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 </w:t>
        </w:r>
        <w:r>
          <w:rPr>
            <w:color w:val="224E6F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Segurança</w:t>
        </w:r>
        <w:r>
          <w:rPr>
            <w:color w:val="224E6F"/>
            <w:spacing w:val="-2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 </w:t>
        </w:r>
        <w:r>
          <w:rPr>
            <w:color w:val="224E6F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da Informação</w:t>
        </w:r>
        <w:r>
          <w:rPr>
            <w:color w:val="224E6F"/>
            <w:spacing w:val="-1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 </w:t>
        </w:r>
        <w:r>
          <w:rPr>
            <w:color w:val="224E6F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para </w:t>
        </w:r>
        <w:r>
          <w:rPr>
            <w:color w:val="224E6F"/>
            <w:spacing w:val="-2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Terceiros</w:t>
        </w:r>
      </w:hyperlink>
    </w:p>
    <w:p>
      <w:pPr>
        <w:pStyle w:val="BodyText"/>
        <w:keepNext w:val="0"/>
        <w:keepLines w:val="0"/>
        <w:widowControl/>
        <w:spacing w:line="252" w:lineRule="auto" w:before="100" w:after="0"/>
        <w:ind w:left="428" w:right="350" w:firstLine="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Revisão 01, 12/06/2025. Apoio para fornecedores, acesso, registros, backup e continuidade.</w:t>
      </w:r>
    </w:p>
    <w:p>
      <w:pPr>
        <w:pStyle w:val="BodyText"/>
        <w:keepNext w:val="0"/>
        <w:keepLines w:val="0"/>
        <w:widowControl/>
        <w:spacing w:before="100" w:after="0" w:line="252" w:lineRule="auto"/>
        <w:ind w:left="428" w:right="350" w:firstLine="0"/>
        <w:jc w:val="left"/>
      </w:pPr>
      <w:hyperlink r:id="rId12">
        <w:r>
          <w:rPr>
            <w:color w:val="224E6F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LGPD</w:t>
        </w:r>
        <w:r>
          <w:rPr>
            <w:color w:val="224E6F"/>
            <w:spacing w:val="-2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 </w:t>
        </w:r>
        <w:r>
          <w:rPr>
            <w:color w:val="224E6F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—</w:t>
        </w:r>
        <w:r>
          <w:rPr>
            <w:color w:val="224E6F"/>
            <w:spacing w:val="-1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 </w:t>
        </w:r>
        <w:r>
          <w:rPr>
            <w:color w:val="224E6F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Lei</w:t>
        </w:r>
        <w:r>
          <w:rPr>
            <w:color w:val="224E6F"/>
            <w:spacing w:val="-1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 </w:t>
        </w:r>
        <w:r>
          <w:rPr>
            <w:color w:val="224E6F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nº </w:t>
        </w:r>
        <w:r>
          <w:rPr>
            <w:color w:val="224E6F"/>
            <w:spacing w:val="-2"/>
            <w:u w:val="single" w:color="224E6F"/>
            <w:rFonts w:ascii="Times New Roman" w:hAnsi="Times New Roman" w:eastAsia="Times New Roman" w:cs="Times New Roman"/>
            <w:sz w:val="24"/>
            <w:szCs w:val="24"/>
          </w:rPr>
          <w:t>13.709/2018</w:t>
        </w:r>
      </w:hyperlink>
    </w:p>
    <w:p>
      <w:pPr>
        <w:pStyle w:val="BodyText"/>
        <w:keepNext w:val="0"/>
        <w:keepLines w:val="0"/>
        <w:widowControl/>
        <w:spacing w:line="252" w:lineRule="auto" w:before="100" w:after="0"/>
        <w:ind w:left="428" w:right="350" w:firstLine="0"/>
        <w:jc w:val="left"/>
      </w:pP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Texto</w:t>
      </w:r>
      <w:r>
        <w:rPr>
          <w:color w:val="404040"/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oficial.</w:t>
      </w:r>
      <w:r>
        <w:rPr>
          <w:color w:val="404040"/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Apoio</w:t>
      </w:r>
      <w:r>
        <w:rPr>
          <w:color w:val="404040"/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para</w:t>
      </w:r>
      <w:r>
        <w:rPr>
          <w:color w:val="404040"/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proteção</w:t>
      </w:r>
      <w:r>
        <w:rPr>
          <w:color w:val="404040"/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color w:val="404040"/>
          <w:spacing w:val="-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dados</w:t>
      </w:r>
      <w:r>
        <w:rPr>
          <w:color w:val="404040"/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color w:val="404040"/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comunicação</w:t>
      </w:r>
      <w:r>
        <w:rPr>
          <w:color w:val="404040"/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color w:val="404040"/>
          <w:spacing w:val="-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incidentes;</w:t>
      </w:r>
      <w:r>
        <w:rPr>
          <w:color w:val="404040"/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color w:val="404040"/>
          <w:rFonts w:ascii="Times New Roman" w:hAnsi="Times New Roman" w:eastAsia="Times New Roman" w:cs="Times New Roman"/>
          <w:sz w:val="24"/>
          <w:szCs w:val="24"/>
        </w:rPr>
        <w:t>verificar regulamentação específica antes de preencher prazos legais.</w:t>
      </w:r>
    </w:p>
    <w:sectPr>
      <w:pgSz w:w="11910" w:h="16840"/>
      <w:pgMar w:header="0" w:footer="538" w:top="1620" w:bottom="760" w:left="1275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18"/>
        <w:rFonts w:ascii="Times New Roman" w:hAnsi="Times New Roman" w:eastAsia="Times New Roman" w:cs="Times New Roman"/>
        <w:szCs w:val="18"/>
      </w:rPr>
      <mc:AlternateContent>
        <mc:Choice Requires="wps">
          <w:drawing>
            <wp:anchor distT="0" distB="0" distL="0" distR="0" allowOverlap="1" layoutInCell="1" locked="0" behindDoc="1" simplePos="0" relativeHeight="486820864">
              <wp:simplePos x="0" y="0"/>
              <wp:positionH relativeFrom="page">
                <wp:posOffset>3340734</wp:posOffset>
              </wp:positionH>
              <wp:positionV relativeFrom="page">
                <wp:posOffset>9562314</wp:posOffset>
              </wp:positionV>
              <wp:extent cx="880110" cy="4006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80110" cy="400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1" w:right="1" w:firstLine="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18"/>
                              <w:rFonts w:ascii="Times New Roman" w:hAnsi="Times New Roman" w:eastAsia="Times New Roman" w:cs="Times New Roman"/>
                              <w:szCs w:val="18"/>
                            </w:rPr>
                            <w:t>Patos</w:t>
                          </w:r>
                          <w:r>
                            <w:rPr>
                              <w:spacing w:val="-2"/>
                              <w:sz w:val="18"/>
                              <w:rFonts w:ascii="Times New Roman" w:hAnsi="Times New Roman" w:eastAsia="Times New Roman" w:cs="Times New Roman"/>
                              <w:szCs w:val="18"/>
                            </w:rPr>
                            <w:t> </w:t>
                          </w:r>
                          <w:r>
                            <w:rPr>
                              <w:sz w:val="18"/>
                              <w:rFonts w:ascii="Times New Roman" w:hAnsi="Times New Roman" w:eastAsia="Times New Roman" w:cs="Times New Roman"/>
                              <w:szCs w:val="18"/>
                            </w:rPr>
                            <w:t>de </w:t>
                          </w:r>
                          <w:r>
                            <w:rPr>
                              <w:spacing w:val="-2"/>
                              <w:sz w:val="18"/>
                              <w:rFonts w:ascii="Times New Roman" w:hAnsi="Times New Roman" w:eastAsia="Times New Roman" w:cs="Times New Roman"/>
                              <w:szCs w:val="18"/>
                            </w:rPr>
                            <w:t>Minas</w:t>
                          </w:r>
                        </w:p>
                        <w:p>
                          <w:pPr>
                            <w:spacing w:before="93"/>
                            <w:ind w:left="0" w:right="1" w:firstLine="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18"/>
                              <w:rFonts w:ascii="Times New Roman" w:hAnsi="Times New Roman" w:eastAsia="Times New Roman" w:cs="Times New Roman"/>
                              <w:szCs w:val="18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3.049988pt;margin-top:752.93811pt;width:69.3pt;height:31.55pt;mso-position-horizontal-relative:page;mso-position-vertical-relative:page;z-index:-16495616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1" w:right="1" w:firstLine="0"/>
                      <w:jc w:val="center"/>
                      <w:rPr>
                        <w:sz w:val="22"/>
                      </w:rPr>
                    </w:pPr>
                    <w:r>
                      <w:rPr>
                        <w:sz w:val="18"/>
                        <w:rFonts w:ascii="Times New Roman" w:hAnsi="Times New Roman" w:eastAsia="Times New Roman" w:cs="Times New Roman"/>
                        <w:szCs w:val="18"/>
                      </w:rPr>
                      <w:t>Patos</w:t>
                    </w:r>
                    <w:r>
                      <w:rPr>
                        <w:spacing w:val="-2"/>
                        <w:sz w:val="18"/>
                        <w:rFonts w:ascii="Times New Roman" w:hAnsi="Times New Roman" w:eastAsia="Times New Roman" w:cs="Times New Roman"/>
                        <w:szCs w:val="18"/>
                      </w:rPr>
                      <w:t> </w:t>
                    </w:r>
                    <w:r>
                      <w:rPr>
                        <w:sz w:val="18"/>
                        <w:rFonts w:ascii="Times New Roman" w:hAnsi="Times New Roman" w:eastAsia="Times New Roman" w:cs="Times New Roman"/>
                        <w:szCs w:val="18"/>
                      </w:rPr>
                      <w:t>de </w:t>
                    </w:r>
                    <w:r>
                      <w:rPr>
                        <w:spacing w:val="-2"/>
                        <w:sz w:val="18"/>
                        <w:rFonts w:ascii="Times New Roman" w:hAnsi="Times New Roman" w:eastAsia="Times New Roman" w:cs="Times New Roman"/>
                        <w:szCs w:val="18"/>
                      </w:rPr>
                      <w:t>Minas</w:t>
                    </w:r>
                  </w:p>
                  <w:p>
                    <w:pPr>
                      <w:spacing w:before="93"/>
                      <w:ind w:left="0" w:right="1" w:firstLine="0"/>
                      <w:jc w:val="center"/>
                      <w:rPr>
                        <w:sz w:val="22"/>
                      </w:rPr>
                    </w:pPr>
                    <w:r>
                      <w:rPr>
                        <w:spacing w:val="-4"/>
                        <w:sz w:val="18"/>
                        <w:rFonts w:ascii="Times New Roman" w:hAnsi="Times New Roman" w:eastAsia="Times New Roman" w:cs="Times New Roman"/>
                        <w:szCs w:val="18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18"/>
        <w:rFonts w:ascii="Times New Roman" w:hAnsi="Times New Roman" w:eastAsia="Times New Roman" w:cs="Times New Roman"/>
        <w:szCs w:val="18"/>
      </w:rPr>
      <mc:AlternateContent>
        <mc:Choice Requires="wps">
          <w:drawing>
            <wp:anchor distT="0" distB="0" distL="0" distR="0" allowOverlap="1" layoutInCell="1" locked="0" behindDoc="1" simplePos="0" relativeHeight="486821376">
              <wp:simplePos x="0" y="0"/>
              <wp:positionH relativeFrom="page">
                <wp:posOffset>3301110</wp:posOffset>
              </wp:positionH>
              <wp:positionV relativeFrom="page">
                <wp:posOffset>9621553</wp:posOffset>
              </wp:positionV>
              <wp:extent cx="956944" cy="42735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956944" cy="427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" w:right="2"/>
                            <w:jc w:val="center"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  <w:t>Patos</w:t>
                          </w:r>
                          <w:r>
                            <w:rPr>
                              <w:spacing w:val="-1"/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  <w:t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  <w:t>de </w:t>
                          </w:r>
                          <w:r>
                            <w:rPr>
                              <w:spacing w:val="-2"/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  <w:t>Minas</w:t>
                          </w:r>
                        </w:p>
                        <w:p>
                          <w:pPr>
                            <w:pStyle w:val="BodyText"/>
                            <w:spacing w:before="91"/>
                            <w:ind w:left="2"/>
                            <w:jc w:val="center"/>
                          </w:pPr>
                          <w:r>
                            <w:rPr>
                              <w:spacing w:val="-4"/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9.929993pt;margin-top:757.60260pt;width:75.350pt;height:33.65pt;mso-position-horizontal-relative:page;mso-position-vertical-relative:page;z-index:-1649510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" w:right="2"/>
                      <w:jc w:val="center"/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>Patos</w:t>
                    </w:r>
                    <w:r>
                      <w:rPr>
                        <w:spacing w:val="-1"/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>de </w:t>
                    </w:r>
                    <w:r>
                      <w:rPr>
                        <w:spacing w:val="-2"/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>Minas</w:t>
                    </w:r>
                  </w:p>
                  <w:p>
                    <w:pPr>
                      <w:pStyle w:val="BodyText"/>
                      <w:spacing w:before="91"/>
                      <w:ind w:left="2"/>
                      <w:jc w:val="center"/>
                    </w:pPr>
                    <w:r>
                      <w:rPr>
                        <w:spacing w:val="-4"/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18"/>
        <w:rFonts w:ascii="Times New Roman" w:hAnsi="Times New Roman" w:eastAsia="Times New Roman" w:cs="Times New Roman"/>
        <w:szCs w:val="18"/>
      </w:rPr>
      <mc:AlternateContent>
        <mc:Choice Requires="wps">
          <w:drawing>
            <wp:anchor distT="0" distB="0" distL="0" distR="0" allowOverlap="1" layoutInCell="1" locked="0" behindDoc="1" simplePos="0" relativeHeight="486821888">
              <wp:simplePos x="0" y="0"/>
              <wp:positionH relativeFrom="page">
                <wp:posOffset>5994653</wp:posOffset>
              </wp:positionH>
              <wp:positionV relativeFrom="page">
                <wp:posOffset>10185907</wp:posOffset>
              </wp:positionV>
              <wp:extent cx="975994" cy="16002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75994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  <w:t>AeroLog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1"/>
                              <w:sz w:val="18"/>
                              <w:szCs w:val="18"/>
                            </w:rPr>
                            <w:t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  <w:t>|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2"/>
                              <w:sz w:val="18"/>
                              <w:szCs w:val="18"/>
                            </w:rPr>
                            <w:t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  <w:t>PCN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4"/>
                              <w:sz w:val="18"/>
                              <w:szCs w:val="18"/>
                            </w:rPr>
                            <w:t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  <w:t>|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1"/>
                              <w:sz w:val="18"/>
                              <w:szCs w:val="18"/>
                            </w:rPr>
                            <w:t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5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5"/>
                              <w:sz w:val="18"/>
                              <w:szCs w:val="18"/>
                            </w:rPr>
                            <w:instrText> PAGE </w:instrTex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5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5"/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5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2.019989pt;margin-top:802.039978pt;width:76.850pt;height:12.6pt;mso-position-horizontal-relative:page;mso-position-vertical-relative:page;z-index:-16494592" type="#_x0000_t202" id="docshape3" filled="false" stroked="false">
              <v:textbox inset="0,0,0,0">
                <w:txbxContent>
                  <w:p>
                    <w:pPr>
                      <w:spacing w:line="235" w:lineRule="exact" w:before="0"/>
                      <w:ind w:left="20" w:right="0" w:firstLine="0"/>
                      <w:jc w:val="left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>AeroLog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8"/>
                        <w:szCs w:val="18"/>
                      </w:rPr>
                      <w:t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>|</w:t>
                    </w: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18"/>
                        <w:szCs w:val="18"/>
                      </w:rPr>
                      <w:t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>PCN</w:t>
                    </w:r>
                    <w:r>
                      <w:rPr>
                        <w:rFonts w:ascii="Times New Roman" w:hAnsi="Times New Roman" w:eastAsia="Times New Roman" w:cs="Times New Roman"/>
                        <w:spacing w:val="-4"/>
                        <w:sz w:val="18"/>
                        <w:szCs w:val="18"/>
                      </w:rPr>
                      <w:t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>|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8"/>
                        <w:szCs w:val="18"/>
                      </w:rPr>
                      <w:t> </w:t>
                    </w:r>
                    <w:r>
                      <w:rPr>
                        <w:rFonts w:ascii="Times New Roman" w:hAnsi="Times New Roman" w:eastAsia="Times New Roman" w:cs="Times New Roman"/>
                        <w:spacing w:val="-5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Times New Roman" w:hAnsi="Times New Roman" w:eastAsia="Times New Roman" w:cs="Times New Roman"/>
                        <w:spacing w:val="-5"/>
                        <w:sz w:val="18"/>
                        <w:szCs w:val="18"/>
                      </w:rPr>
                      <w:instrText> PAGE </w:instrText>
                    </w:r>
                    <w:r>
                      <w:rPr>
                        <w:rFonts w:ascii="Times New Roman" w:hAnsi="Times New Roman" w:eastAsia="Times New Roman" w:cs="Times New Roman"/>
                        <w:spacing w:val="-5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spacing w:val="-5"/>
                        <w:sz w:val="18"/>
                        <w:szCs w:val="18"/>
                      </w:rPr>
                      <w:t>10</w:t>
                    </w:r>
                    <w:r>
                      <w:rPr>
                        <w:rFonts w:ascii="Times New Roman" w:hAnsi="Times New Roman" w:eastAsia="Times New Roman" w:cs="Times New Roman"/>
                        <w:spacing w:val="-5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859" w:hanging="4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03" w:hanging="57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91" w:hanging="57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82" w:hanging="57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74" w:hanging="57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65" w:hanging="57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57" w:hanging="57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48" w:hanging="57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40" w:hanging="576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sz w:val="24"/>
      <w:lang w:val="pt-PT" w:eastAsia="en-US" w:bidi="ar-SA"/>
    </w:rPr>
  </w:style>
  <w:style w:styleId="BodyText" w:type="paragraph">
    <w:name w:val="Body Text"/>
    <w:basedOn w:val="Normal"/>
    <w:uiPriority w:val="1"/>
    <w:qFormat/>
    <w:pPr>
      <w:widowControl/>
      <w:spacing w:before="100" w:after="0" w:line="360" w:lineRule="auto"/>
      <w:ind w:left="428" w:right="428" w:firstLine="1132"/>
      <w:jc w:val="both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keepNext/>
      <w:keepLines/>
      <w:spacing w:before="200" w:after="0" w:line="240" w:lineRule="auto"/>
      <w:ind w:left="858" w:right="0" w:hanging="431"/>
      <w:jc w:val="both"/>
      <w:outlineLvl w:val="1"/>
    </w:pPr>
    <w:rPr>
      <w:rFonts w:ascii="Times New Roman" w:hAnsi="Times New Roman" w:eastAsia="Times New Roman" w:cs="Times New Roman"/>
      <w:b/>
      <w:bCs/>
      <w:i w:val="0"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0" w:after="0"/>
      <w:ind w:left="0" w:right="572" w:firstLine="0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00" w:after="0" w:line="360" w:lineRule="auto"/>
      <w:ind w:left="850" w:right="428" w:hanging="418"/>
      <w:jc w:val="both"/>
    </w:pPr>
    <w:rPr>
      <w:rFonts w:ascii="Times New Roman" w:hAnsi="Times New Roman" w:eastAsia="Times New Roman" w:cs="Times New Roman"/>
      <w:sz w:val="24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0" w:after="0" w:line="240" w:lineRule="auto"/>
      <w:ind w:left="88" w:right="88" w:firstLine="0"/>
      <w:jc w:val="left"/>
    </w:pPr>
    <w:rPr>
      <w:rFonts w:ascii="Times New Roman" w:hAnsi="Times New Roman" w:eastAsia="Times New Roman" w:cs="Times New Roman"/>
      <w:sz w:val="20"/>
      <w:lang w:val="pt-PT" w:eastAsia="en-US" w:bidi="ar-SA"/>
    </w:rPr>
  </w:style>
  <w:style w:type="paragraph" w:customStyle="1" w:styleId="Heading4">
    <w:name w:val="heading 4"/>
    <w:pPr>
      <w:keepNext/>
      <w:keepLines/>
      <w:spacing w:before="160" w:after="0" w:line="240" w:lineRule="auto"/>
      <w:ind w:left="1004" w:right="0" w:firstLine="0"/>
      <w:jc w:val="both"/>
    </w:pPr>
    <w:rPr>
      <w:rFonts w:ascii="Times New Roman" w:hAnsi="Times New Roman" w:eastAsia="Times New Roman" w:cs="Times New Roman"/>
      <w:b/>
      <w:i w:val="0"/>
      <w:sz w:val="24"/>
    </w:rPr>
  </w:style>
  <w:style w:type="paragraph" w:customStyle="1" w:styleId="Heading2">
    <w:name w:val="heading 2"/>
    <w:pPr>
      <w:keepNext/>
      <w:keepLines/>
      <w:spacing w:before="160" w:after="0" w:line="240" w:lineRule="auto"/>
      <w:ind w:left="1004" w:right="0" w:firstLine="0"/>
      <w:jc w:val="both"/>
    </w:pPr>
    <w:rPr>
      <w:rFonts w:ascii="Times New Roman" w:hAnsi="Times New Roman" w:eastAsia="Times New Roman" w:cs="Times New Roman"/>
      <w:b/>
      <w:i w:val="0"/>
      <w:sz w:val="24"/>
    </w:rPr>
  </w:style>
  <w:style w:type="paragraph" w:customStyle="1" w:styleId="Heading3">
    <w:name w:val="heading 3"/>
    <w:pPr>
      <w:keepNext/>
      <w:spacing w:before="140" w:after="0"/>
      <w:ind w:left="1148" w:firstLine="0"/>
      <w:jc w:val="both"/>
    </w:pPr>
    <w:rPr>
      <w:rFonts w:ascii="Times New Roman" w:hAnsi="Times New Roman" w:eastAsia="Times New Roman" w:cs="Times New Roman"/>
      <w:b/>
      <w:i/>
      <w:sz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yperlink" Target="https://www.anac.gov.br/assuntos/legislacao/legislacao-1/portarias/2022/portaria-9459" TargetMode="External"/><Relationship Id="rId10" Type="http://schemas.openxmlformats.org/officeDocument/2006/relationships/hyperlink" Target="https://www.gov.br/gestao/pt-br/assuntos/estatais/central-de-conteudo/kits-governanca-ti/kit-3/processo-de-gerenciamento-da-continuidade-dos-servicos-de-tic/kit-3-governanca-tic-artefato-gerenciamento-da-continuidade-dos-servicos.pdf" TargetMode="External"/><Relationship Id="rId11" Type="http://schemas.openxmlformats.org/officeDocument/2006/relationships/hyperlink" Target="https://static.voegol.com.br/voegol/2025-06-27/PO-DTI-SC-003-Pol%C3%ADtica%20de%20Seguran%C3%A7a%20da%20Informa%C3%A7%C3%A3o%20para%20Terceiro_r01.pdf" TargetMode="External"/><Relationship Id="rId12" Type="http://schemas.openxmlformats.org/officeDocument/2006/relationships/hyperlink" Target="https://www.planalto.gov.br/ccivil_03/_ato2015-2018/2018/lei/l13709.htm" TargetMode="External"/><Relationship Id="rId1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Sabrina</dc:creator>
  <dc:title>PCN AeroLog — versão 0.4</dc:title>
  <dcterms:created xsi:type="dcterms:W3CDTF">2026-10-13T15:19:25Z</dcterms:created>
  <dcterms:modified xsi:type="dcterms:W3CDTF">2026-10-13T15:19:25Z</dcterms:modified>
  <dc:subject>Documento padronizado conforme a formatação do PCN</dc:subject>
  <dc:description>Formatação padronizada com preservação do conteúdo e das exceções aprovadas.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2026-10-13T00:00:00Z</vt:filetime>
  </property>
  <property fmtid="{D5CDD505-2E9C-101B-9397-08002B2CF9AE}" pid="6" name="Producer">
    <vt:lpwstr>Microsoft® Word LTSC</vt:lpwstr>
  </property>
</Properties>
</file>