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440000" cy="428108"/>
            <wp:effectExtent b="0" l="0" r="0" t="0"/>
            <wp:docPr descr="Logotipo UNIPAM do documento acadêmico de referência" id="1" name="image1.jpg"/>
            <a:graphic>
              <a:graphicData uri="http://schemas.openxmlformats.org/drawingml/2006/picture">
                <pic:pic>
                  <pic:nvPicPr>
                    <pic:cNvPr descr="Logotipo UNIPAM do documento acadêmico de referênc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Auditoria e Segurança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Turma / período: </w:t>
      </w:r>
      <w:r w:rsidDel="00000000" w:rsidR="00000000" w:rsidRPr="00000000">
        <w:rPr>
          <w:rtl w:val="0"/>
        </w:rPr>
        <w:t xml:space="preserve">6º B</w:t>
      </w:r>
    </w:p>
    <w:p w:rsidR="00000000" w:rsidDel="00000000" w:rsidP="00000000" w:rsidRDefault="00000000" w:rsidRPr="00000000" w14:paraId="00000006">
      <w:pPr>
        <w:spacing w:after="160" w:before="6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180" w:before="116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9">
      <w:pPr>
        <w:pStyle w:val="Subtitle"/>
        <w:spacing w:after="14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PGR — Gestão de riscos de segurança da informação</w:t>
      </w:r>
    </w:p>
    <w:p w:rsidR="00000000" w:rsidDel="00000000" w:rsidP="00000000" w:rsidRDefault="00000000" w:rsidRPr="00000000" w14:paraId="0000000B">
      <w:pPr>
        <w:spacing w:after="80" w:before="24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Patos de Minas -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80" w:before="170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F">
      <w:pPr>
        <w:pStyle w:val="Subtitle"/>
        <w:spacing w:after="80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10">
      <w:pPr>
        <w:spacing w:after="240" w:lineRule="auto"/>
        <w:ind w:left="4252" w:firstLine="0"/>
        <w:rPr/>
      </w:pPr>
      <w:r w:rsidDel="00000000" w:rsidR="00000000" w:rsidRPr="00000000">
        <w:rPr>
          <w:rtl w:val="0"/>
        </w:rPr>
        <w:t xml:space="preserve">Documento interno para identificação, avaliação, tratamento e monitoramento dos riscos de segurança da informação da AeroLog Transportes Aéreos.</w:t>
      </w:r>
    </w:p>
    <w:p w:rsidR="00000000" w:rsidDel="00000000" w:rsidP="00000000" w:rsidRDefault="00000000" w:rsidRPr="00000000" w14:paraId="00000011">
      <w:pPr>
        <w:ind w:left="4252" w:firstLine="0"/>
        <w:rPr/>
      </w:pPr>
      <w:r w:rsidDel="00000000" w:rsidR="00000000" w:rsidRPr="00000000">
        <w:rPr>
          <w:rtl w:val="0"/>
        </w:rPr>
        <w:t xml:space="preserve">Classificação: Uso interno</w:t>
      </w:r>
    </w:p>
    <w:p w:rsidR="00000000" w:rsidDel="00000000" w:rsidP="00000000" w:rsidRDefault="00000000" w:rsidRPr="00000000" w14:paraId="00000012">
      <w:pPr>
        <w:ind w:left="4252" w:firstLine="0"/>
        <w:rPr/>
      </w:pPr>
      <w:r w:rsidDel="00000000" w:rsidR="00000000" w:rsidRPr="00000000">
        <w:rPr>
          <w:rtl w:val="0"/>
        </w:rPr>
        <w:t xml:space="preserve">Versão: 0.3</w:t>
      </w:r>
    </w:p>
    <w:p w:rsidR="00000000" w:rsidDel="00000000" w:rsidP="00000000" w:rsidRDefault="00000000" w:rsidRPr="00000000" w14:paraId="00000013">
      <w:pPr>
        <w:ind w:left="4252" w:firstLine="0"/>
        <w:rPr/>
      </w:pPr>
      <w:r w:rsidDel="00000000" w:rsidR="00000000" w:rsidRPr="00000000">
        <w:rPr>
          <w:rtl w:val="0"/>
        </w:rPr>
        <w:t xml:space="preserve">Data de emissão: 2026</w:t>
      </w:r>
    </w:p>
    <w:p w:rsidR="00000000" w:rsidDel="00000000" w:rsidP="00000000" w:rsidRDefault="00000000" w:rsidRPr="00000000" w14:paraId="00000014">
      <w:pPr>
        <w:spacing w:after="120" w:before="600" w:lineRule="auto"/>
        <w:jc w:val="center"/>
        <w:rPr/>
      </w:pPr>
      <w:r w:rsidDel="00000000" w:rsidR="00000000" w:rsidRPr="00000000">
        <w:rPr>
          <w:rtl w:val="0"/>
        </w:rPr>
        <w:t xml:space="preserve">Responsável pela elaboração: Gestão de Segurança da Informação</w:t>
      </w:r>
    </w:p>
    <w:p w:rsidR="00000000" w:rsidDel="00000000" w:rsidP="00000000" w:rsidRDefault="00000000" w:rsidRPr="00000000" w14:paraId="00000015">
      <w:pPr>
        <w:spacing w:after="120" w:before="0" w:lineRule="auto"/>
        <w:jc w:val="center"/>
        <w:rPr/>
      </w:pPr>
      <w:r w:rsidDel="00000000" w:rsidR="00000000" w:rsidRPr="00000000">
        <w:rPr>
          <w:rtl w:val="0"/>
        </w:rPr>
        <w:t xml:space="preserve">Aprovação: Alta Administração</w:t>
      </w:r>
    </w:p>
    <w:p w:rsidR="00000000" w:rsidDel="00000000" w:rsidP="00000000" w:rsidRDefault="00000000" w:rsidRPr="00000000" w14:paraId="00000016">
      <w:pPr>
        <w:spacing w:after="80" w:before="1960" w:lineRule="auto"/>
        <w:jc w:val="center"/>
        <w:rPr/>
      </w:pPr>
      <w:r w:rsidDel="00000000" w:rsidR="00000000" w:rsidRPr="00000000">
        <w:rPr>
          <w:rtl w:val="0"/>
        </w:rPr>
        <w:t xml:space="preserve">Uso interno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020" w:top="1020" w:left="1134" w:right="1134" w:header="397" w:footer="454"/>
          <w:pgNumType w:start="1"/>
        </w:sect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Objetivo e Escopo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Política de Gestão de Riscos estabelece os critérios para identificar, analisar e avaliar os riscos de segurança da informação da AeroLog Transportes Aéreos. A avaliação busca apoiar decisões proporcionais à probabilidade de ocorrência e à gravidade das consequências para as operações da empresa.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escopo abrange o sistema de reservas, a emissão de passagens por meio do GDS, os dados dos passageiros, os 50 servidores locais, os sistemas legados de controle de voo, os sistemas críticos embarcados nas aeronaves e os acessos utilizados no suporte internacional aos softwares de navegação. Também são considerados os processos de transporte de cargas e passageiros que dependem desses ativos.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análise contempla cinco cenários prioritários da AeroLog: ataques de negação de serviço contra o sistema de reservas, fraude na emissão de passagens, comprometimento relacionado ao suporte externo, falha de sistemas legados de controle de voo e comprometimento de sistemas críticos embarcados.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da classificação. </w:t>
      </w:r>
      <w:r w:rsidDel="00000000" w:rsidR="00000000" w:rsidRPr="00000000">
        <w:rPr>
          <w:rtl w:val="0"/>
        </w:rPr>
        <w:t xml:space="preserve">As classificações são qualitativas e utilizam os registros e as evidências disponíveis. Frequência de incidentes, perdas financeiras, duração de indisponibilidades e controles existentes devem ser incorporados às revisões periódicas sempre que novos dados forem produzidos. Uma medida de segurança somente será considerada implantada quando houver evidência verificável de sua execução.</w:t>
      </w:r>
    </w:p>
    <w:p w:rsidR="00000000" w:rsidDel="00000000" w:rsidP="00000000" w:rsidRDefault="00000000" w:rsidRPr="00000000" w14:paraId="0000001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Metodologia de Avaliação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avaliação utiliza uma abordagem qualitativa. Cada risco é descrito pelo evento indesejado e pelo ativo ou processo afetado, recebe uma classificação de probabilidade e impacto e, em seguida, é posicionado na matriz de risco. A justificativa registra as informações disponíveis sobre a operação da AeroLog e explicita as incertezas que influenciam a classificação.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escalas padronizam a avaliação dos riscos e permitem comparar cenários distintos. Os níveis atribuídos devem ser revistos quando houver novos registros de incidentes, mudanças nos ativos ou evidências sobre a eficácia dos controles.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Escala de probabilidade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probabilidade expressa a possibilidade de ocorrência do risco nas condições operacionais e tecnológicas da AeroLog. A classificação considera ameaças registradas, exposições conhecidas e a quantidade de evidência disponível.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evento é plausível, mas não há registro disponível de ocorrência anterior nem exposição específica que indique repetição frequente. A falta de histórico, sozinha, não basta para classificar um risco como baixo.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Existem condições, dependências ou características tecnológicas que podem permitir o evento, mas não há evidência suficiente para considerá-lo recorrente ou iminente.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ameaça ou tentativa já foi registrada, ou a exposição identificada sustenta uma possibilidade relevante de nova ocorrência.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Escala de impacto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impacto representa a gravidade das consequências caso o evento ocorra. Para cada risco, considera-se a consequência mais grave sustentada pelas informações disponíveis sobre operações, segurança operacional, dados pessoais e efeitos financeiros ou reputacionais.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produz efeito localizado, de curta duração e com recuperação simples, sem comprometer um processo essencial, dados relevantes ou a segurança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prejudica um processo ou grupo de usuários de forma relevante, mas permanece restrito e pode ser recuperado sem interrupção grave das operações essenciais.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causar interrupção expressiva, fraude relevante, exposição de dados, perda financeira significativa ou dano importante à confiança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comprometer gravemente uma operação essencial, a segurança operacional, um sistema crítico ou a continuidade de serviços indispensáveis.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1"/>
        <w:jc w:val="left"/>
        <w:rPr/>
      </w:pPr>
      <w:r w:rsidDel="00000000" w:rsidR="00000000" w:rsidRPr="00000000">
        <w:rPr>
          <w:rtl w:val="0"/>
        </w:rPr>
        <w:t xml:space="preserve">Matriz de classificação de riscos</w:t>
      </w:r>
    </w:p>
    <w:p w:rsidR="00000000" w:rsidDel="00000000" w:rsidP="00000000" w:rsidRDefault="00000000" w:rsidRPr="00000000" w14:paraId="00000037">
      <w:pPr>
        <w:keepNext w:val="1"/>
        <w:rPr/>
      </w:pPr>
      <w:r w:rsidDel="00000000" w:rsidR="00000000" w:rsidRPr="00000000">
        <w:rPr>
          <w:rtl w:val="0"/>
        </w:rPr>
        <w:t xml:space="preserve">A matriz classifica cada risco pelo cruzamento entre sua probabilidade estimada e seu impacto potencial. O resultado é um nível baixo, médio, alto ou crítico, utilizado para ordenar a análise e o tratamento. A posição na matriz deve sempre ser acompanhada da justificativa do risco, pois o cálculo não substitui a avaliação do contexto.</w:t>
      </w:r>
    </w:p>
    <w:tbl>
      <w:tblPr>
        <w:tblStyle w:val="Table3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35"/>
        <w:gridCol w:w="1701"/>
        <w:gridCol w:w="1701"/>
        <w:gridCol w:w="1701"/>
        <w:gridCol w:w="1701"/>
        <w:tblGridChange w:id="0">
          <w:tblGrid>
            <w:gridCol w:w="2835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Probabilidade /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Critérios de priorização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prioridade aumenta conforme o nível indicado pela matriz. Quando dois riscos tiverem o mesmo nível, terá precedência aquele com maior impacto. Persistindo o empate, devem ser considerados a abrangência dos processos afetados e o potencial de atingir operações essenciais.</w:t>
      </w:r>
    </w:p>
    <w:p w:rsidR="00000000" w:rsidDel="00000000" w:rsidP="00000000" w:rsidRDefault="00000000" w:rsidRPr="00000000" w14:paraId="0000004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Requer acompanhamento para confirmar que a exposição permanece limitada e que mudanças no ambiente não aumentaram sua gravidade.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Manter controles básicos, registrar ocorrências e revisar periodicamente os fatores de probabilidade e impacto.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Deve entrar no planejamento de tratamento porque pode causar prejuízo relevante ou aumentar de nível se a exposição mudar.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as condições que permitem o evento, definir um responsável e acompanhar evidências de funcionamento dos controles adotados.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tratamento em curto prazo porque combina exposição relevante com consequências expressivas, ou apresenta impacto crítico mesmo com menor probabilidade.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Aplicar controles preventivos e detectivos adequados ao evento, restringir acessos quando aplicável e reforçar o monitoramento do ativo ou processo afetado.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decisão imediata porque pode interromper serviços essenciais, comprometer a segurança operacional ou produzir danos graves.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 exposição sem demora, adotar barreiras adicionais, preparar resposta ao evento e acompanhar a execução das medidas pela Alta Administração.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classificações representam o risco inerente ao cenário descrito. Controles apenas propostos não reduzem o nível atual; uma avaliação residual somente poderá ser realizada depois que a medida correspondente estiver implantada e verificada.</w:t>
      </w:r>
    </w:p>
    <w:p w:rsidR="00000000" w:rsidDel="00000000" w:rsidP="00000000" w:rsidRDefault="00000000" w:rsidRPr="00000000" w14:paraId="0000005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Identificação e Avaliação dos Riscos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registro inicial contém os cinco riscos prioritários deste escopo. Cada item mantém um identificador único, descreve o evento analisado e indica o ativo ou processo diretamente afetado. As classificações seguem os critérios definidos na seção anterior.</w:t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52"/>
        <w:gridCol w:w="3005"/>
        <w:gridCol w:w="2381"/>
        <w:gridCol w:w="1134"/>
        <w:gridCol w:w="1247"/>
        <w:gridCol w:w="1219"/>
        <w:tblGridChange w:id="0">
          <w:tblGrid>
            <w:gridCol w:w="652"/>
            <w:gridCol w:w="3005"/>
            <w:gridCol w:w="2381"/>
            <w:gridCol w:w="1134"/>
            <w:gridCol w:w="1247"/>
            <w:gridCol w:w="121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Ativo /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DDoS contra o sistema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Fraude na emissão de passagens via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Emissão de passagens /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sistemas por suporte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Acesso de fornecedores / sistemas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Falha de sistemas legados de controle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Controle de voo / 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 crítico embarcado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Sistemas embarcados / operações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Justificativas das avaliações</w:t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80"/>
        <w:gridCol w:w="4649"/>
        <w:gridCol w:w="4309"/>
        <w:tblGridChange w:id="0">
          <w:tblGrid>
            <w:gridCol w:w="680"/>
            <w:gridCol w:w="4649"/>
            <w:gridCol w:w="430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da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 reservas é alvo de ataques de negação de serviço, com maior exposição durante períodos de alta demanda.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porque a ameaça já foi observada. Impacto alto porque a indisponibilidade pode impedir consultas, reservas e emissões, afetando passageiros, atendimento e receita. A combinação resulta em risco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Foram registradas tentativas de fraude na emissão de passagens por meio do GDS.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devido à existência de tentativas relatadas. Impacto alto pelos possíveis prejuízos financeiros, contestações, uso indevido do processo de emissão e dano à confiança dos clientes. O nível resultante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 AeroLog mantém contratos internacionais de suporte para softwares de navegação, o que cria uma relação de acesso e dependência externa.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Probabilidade média porque o vetor é plausível, mas não há registro disponível de incidente nem de falha específica de controle. O impacto é alto porque um acesso externo comprometido pode afetar sistemas relevantes para a operação. O nível resultante é alto.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sistemas legados de controle de voo integram o escopo da avaliação por sua relevância para a operação aérea.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média porque a condição legada indica exposição plausível, embora não exista histórico de falhas. O impacto é crítico pelo potencial de comprometer o suporte às operações de voo e a segurança operacional. O nível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AeroLog opera sistemas críticos embarcados cuja integridade e disponibilidade são essenciais às operações de voo.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baixa porque não há incidente relatado nem detalhe que comprove exposição frequente. O impacto é crítico porque a perda de integridade ou disponibilidade de um sistema embarcado pode afetar operações de voo e segurança operacional. O nível resultante é alto.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Distinção entre riscos relacionados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 riscos podem compartilhar ativos, causas ou consequências, mas cada identificador representa um evento principal diferente. A separação abaixo evita duplicidade e preserva o alcance usado na avaliação.</w:t>
      </w:r>
    </w:p>
    <w:p w:rsidR="00000000" w:rsidDel="00000000" w:rsidP="00000000" w:rsidRDefault="00000000" w:rsidRPr="00000000" w14:paraId="0000009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R01 Ataque DDoS ao sistema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 R01 trata da indisponibilidade causada por grande volume de requisições maliciosas contra o sistema de reservas. Ele se diferencia do R02 porque o objetivo do evento é impedir ou degradar o acesso ao serviço, enquanto a fraude pode ocorrer mesmo quando o sistema continua disponível.</w:t>
      </w:r>
    </w:p>
    <w:p w:rsidR="00000000" w:rsidDel="00000000" w:rsidP="00000000" w:rsidRDefault="00000000" w:rsidRPr="00000000" w14:paraId="0000009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R02 Fraude na emissão de passagens via GDS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R02 trata da emissão indevida ou da manipulação fraudulenta de passagens por meio do GDS. Seu foco é a integridade e a legitimidade da transação. Diferentemente do R01, não depende de indisponibilidade; diferencia-se também dos riscos operacionais de voo porque afeta diretamente o processo comercial de emissão.</w:t>
      </w:r>
    </w:p>
    <w:p w:rsidR="00000000" w:rsidDel="00000000" w:rsidP="00000000" w:rsidRDefault="00000000" w:rsidRPr="00000000" w14:paraId="0000009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R03 Comprometimento por suporte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R03 descreve a origem do comprometimento no acesso ou na atividade de um fornecedor de suporte. Ele se distingue dos demais por representar um vetor relacionado a terceiros. Pode anteceder o R05 se esse acesso atingir um sistema embarcado, mas sua classificação permanece centrada no caminho de entrada e na dependência externa.</w:t>
      </w:r>
    </w:p>
    <w:p w:rsidR="00000000" w:rsidDel="00000000" w:rsidP="00000000" w:rsidRDefault="00000000" w:rsidRPr="00000000" w14:paraId="0000009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R04 Falha de sistemas legados de controle de voo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 R04 trata de falha técnica associada a sistemas legados de controle de voo, como limitações de manutenção, compatibilidade ou confiabilidade. Diferencia-se do R03 e do R05 porque não exige acesso externo nem comprometimento intencional. Também não foi presumida dependência entre esse sistema e o sistema de reservas.</w:t>
      </w:r>
    </w:p>
    <w:p w:rsidR="00000000" w:rsidDel="00000000" w:rsidP="00000000" w:rsidRDefault="00000000" w:rsidRPr="00000000" w14:paraId="000000A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R05 Comprometimento de sistema crítico embarcado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R05 descreve o ativo atingido e a perda de integridade ou disponibilidade de um sistema crítico embarcado. Ele se diferencia do R03, que identifica o suporte externo como vetor, e do R04, que trata de falha em sistema legado. Se um único incidente envolver R03 e R05, a causa e a consequência devem ser relacionadas sem contabilizar o mesmo dano duas vezes.</w:t>
      </w:r>
    </w:p>
    <w:p w:rsidR="00000000" w:rsidDel="00000000" w:rsidP="00000000" w:rsidRDefault="00000000" w:rsidRPr="00000000" w14:paraId="000000A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Tratamento dos Riscos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Os tratamentos abaixo estão vinculados aos riscos identificados na seção 3 e às diretrizes da Política de Segurança da Informação (PSI), considerando também as estratégias, os gatilhos de ativação e os critérios de recuperação descritos no Plano de Continuidade de Negócios (PCN). As medidas constituem propostas para a AeroLog e não devem ser consideradas controles já implantados. A execução depende de validação técnica, disponibilidade de recursos e alinhamento entre PSI, PGR e PCN.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360"/>
        <w:gridCol w:w="1875"/>
        <w:tblGridChange w:id="0">
          <w:tblGrid>
            <w:gridCol w:w="660"/>
            <w:gridCol w:w="6360"/>
            <w:gridCol w:w="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Ponto de partida para o tratamento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PSI relacionada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proteção contra DDoS, acompanhamento da disponibilidade e estratégia de continuidade.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4.2, 4.6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controles de acesso, verificação de operações suspeitas e registros de emissão.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4.2 e 4.8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autorização de suporte, acesso limitado, autenticação adequada, registros e requisitos contratuais.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4.3, 4.4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atualização ou substituição planejada e recuperação compatível com a operação.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controle de alterações, restrição de acesso, avaliação de integridade e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4.7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Revisar permissões sobre dados de passageiros, aplicar criptografia em trânsito e em repouso, proteger registros e verificar acessos anômalos.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4.2 e 4.7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Inventariar cópias, definir periodicidade e retenção com o PCN, proteger backups contra alteração e executar testes documentados de restauração, incluindo cópia offline para reservas.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4.6 e 4.7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R08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Realizar avaliação técnica autorizada de vulnerabilidades, priorizar correções conforme criticidade, controlar mudanças e registrar exceções com medidas compensatórias.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4.5; 4.3 quando envolver sistemas críticos ou embarcados; 4.7</w:t>
            </w:r>
          </w:p>
        </w:tc>
      </w:tr>
    </w:tbl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Plano de tratamento dos riscos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160"/>
        <w:gridCol w:w="1935"/>
        <w:gridCol w:w="1830"/>
        <w:gridCol w:w="2355"/>
        <w:tblGridChange w:id="0">
          <w:tblGrid>
            <w:gridCol w:w="630"/>
            <w:gridCol w:w="2160"/>
            <w:gridCol w:w="1935"/>
            <w:gridCol w:w="183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Estratégia e prioridade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Responsável 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Prazo / critério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de conclusão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Propor proteção anti-DDoS, monitoramento de disponibilidade e plano de resposta; alinhar continuidade e backup offline ao PCN.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gestor do sistema de reservas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definir resposta; implantação priorizada e validada por teste.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Configuração aprovada; registros de monitoramento; teste de resposta/continuidade documentado.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Restringir permissões de emissão, revisar acessos, monitorar operações suspeitas e proteger registros do GDS.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processo de emissão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revisar acessos; controles implantados em curto prazo.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Revisão de permissões registrada; alertas e trilhas de auditoria verificáveis; teste de análise de operação suspeita.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e compartilhar contratualmente — alta. Exigir autorização individual, MFA, menor privilégio, acesso remoto limitado, registros e comunicação de incidentes por fornecedores.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contrato/ sistema de navegação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Antes de novo acesso ou renovação contratual; revisar acessos trimestralmente.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revisão de acessos registradas; logs de sessões; cláusulas contratuais e teste de revogação.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Avaliar tecnicamente os sistemas legados, priorizar correções seguras, planejar atualização/substituição e validar recuperação sem comprometer a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Avaliação prioritária imediata; plano de correção com etapas e validação técnica.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Inventário/avaliação documentados; plano aprovado; registros de mudança e teste de recuperação.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Restringir acesso e alterações, verificar integridade, avaliar atualizações com as equipes competentes e preparar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aéreas; fornecedor autorizado quando aplicável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avaliação técnica e definir cronograma conforme criticidade e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registros de alterações; evidência de verificação de integridade; teste ou relatório técnico aprovado.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Aplicar acesso por necessidade, revisar permissões, manter criptografia, restringir exportações e analisar registros de acesso a dados pessoais.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responsável pelo sistema/dados de passageiros; responsável pela privacidade, se designado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Definir plano prioritário; revisar acessos trimestralmente e após mudança de função ou incidente.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Matriz de permissões; evidências de configuração de criptografia; logs protegidos; relatório de revisão e teste de acesso.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Confirmar cobertura dos backups, proteger cópias contra exclusão/alteração, manter cópia offline para reservas e testar restauração em ambiente controlado.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gestor do sistema de reservas; responsáveis pelo PCN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Lacunas e inventário  prioritários; frequência, retenção e metas de recuperação devem ser alinhadas ao PCN antes da aprovação.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Inventário de backups; registros de execução; controle de acesso; relatórios de testes de restauração e ações corretivas.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R08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Inventariar ativos e versões, avaliar vulnerabilidades, priorizar correções por criticidade e validar atualizações em ambiente/controles adequados antes da implantação.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responsáveis pelos sistemas; equipes técnicas de operações aéreas para ativos aeronáuticos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Iniciar avaliação técnica prioritária; cronograma conforme criticidade, exposição e restrições de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Inventário atualizado; relatório técnico; plano de correção; aprovações e registros de mudança; justificativas para exceções.</w:t>
            </w:r>
          </w:p>
        </w:tc>
      </w:tr>
    </w:tbl>
    <w:p w:rsidR="00000000" w:rsidDel="00000000" w:rsidP="00000000" w:rsidRDefault="00000000" w:rsidRPr="00000000" w14:paraId="000000F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770"/>
        <w:tblGridChange w:id="0">
          <w:tblGrid>
            <w:gridCol w:w="1125"/>
            <w:gridCol w:w="77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Ligação inicial com o PCN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C01 para indisponibilidade relevante das reservas; C04 se houver impacto cibernético amplo/prolongado. Backup offline não substitui a mitigação DDoS.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Apuração e conciliação das transações; acionar contingência somente se a fraude provocar interrupção relevante. Não implica indisponibilidade automaticamente.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C03 para comprometimento por suporte externo; C04 se o impacto for amplo. Se atingir sistema embarcado, coordenar também C02/R05.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Seção 4 do PCN: continuidade operacional durante falha de gerenciamento/controle de voo. C01 somente se dependência de reservas for confirmada e justificada.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C02 para sistema crítico/embarcado; C04 quando o evento tiver impacto amplo. Contar com segurança e só retomar após validação técnica e liberação competente.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consta como risco próprio no escopo atual do PCN. Avaliar seção 6 (comunicação de incidente com dados pessoais/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ANPD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titulares, quando aplicável); ativar PCN apenas se houver interrupção relevante.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Relaciona-se à estratégia de cópias offline e restauração do PCN e ao C01 para reservas; C04 se a falha/ataque provocar impacto amplo ou prolongado. Harmonizar frequência de teste: seção 4.1 trimestral versus seção 8 semestral.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R08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consta como risco próprio no escopo atual do PCN. Associar ao cenário existente conforme sistema afetado é consequência real; considerar C02/C04 apenas se os gatilhos forem atendidos, e propor inclusão na revisão do PCN.</w:t>
            </w:r>
          </w:p>
        </w:tc>
      </w:tr>
    </w:tbl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Orientações complementares de integração com o PCN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750"/>
        <w:tblGridChange w:id="0">
          <w:tblGrid>
            <w:gridCol w:w="2145"/>
            <w:gridCol w:w="67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Tema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Orientação / pendência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 — Ataque DDoS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Combinar a mitigação do ataque com a recuperação dos dados. O backup, isoladamente, não restabelece a disponibilidade enquanto o ataque estiver 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 e R05 — Incidentes técnicos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Conter o incidente preservando evidências e respeitando as autorizações técnicas e operacionais. A retomada deve ocorrer somente após validação técnica e liberação competente.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 — Sistemas de controle de voo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continuidade operacional depende de informações atuais, íntegras e verificadas. Não presume dependência automática entre o sistema de controle de voo e o sistema de reservas.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R07 — Estratégia de backup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PCN propõe cópias incrementais diárias, cópias completas semanais, ao menos uma cópia offline e testes de restauração.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Pendência — frequência dos testes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PCN apresenta frequências divergentes: teste trimestral na seção 4.1 e semestral na seção 8. A equipe deve definir e registrar uma única frequência aprovada.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Pendência — RTO e RPO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PCN não define objetivos de tempo de recuperação (RTO) nem de ponto de recuperação (RPO). A equipe deve estabelecê-los; a PGR não presume valores.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Escopo do PCN — R06 a R08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Esses riscos constam na PGR, mas não aparecem como riscos próprios no escopo formal atual do PCN. Avaliar sua inclusão na próxima revisão, conforme pertinência.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Validação dos controles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medidas descritas são propostas a validar. Não devem ser tratadas como implantadas ou eficazes até que existam evidências verificáveis.</w:t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Responsabilidades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A gestão dos riscos é compartilhada entre a Alta Administração, a equipe de TI, os responsáveis pelas áreas ou sistemas, as equipes técnicas de operações aéreas e os fornecedores. Cada risco deverá ter um responsável funcional pelo acompanhamento, enquanto a aprovação de prioridades e a aceitação formal caberão à autoridade competente, conforme os limites organizacionais definidos pela AeroLog.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Função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Responsabilidade na gestão de riscos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Administração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Aprovar prioridades, recursos e planos de tratamento; decidir sobre aceitação formal de riscos dentro de sua competência; acompanhar riscos críticos e pendências relevantes.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Manter o registro técnico dos riscos em conjunto com os gestores; propor e executar controles autorizados; monitorar alertas e registros; reunir evidências; comunicar incidentes e mudanças que possam alterar a avaliação.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pelas áreas ou sistemas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Atuar como donos funcionais dos riscos relacionados aos seus processos; validar impactos operacionais; aprovar necessidades de acesso; acompanhar prazos e eficácia das medidas; informar mudanças e incidentes.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pelos contratos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Garantir que requisitos de segurança sejam incluídos nos contratos aplicáveis; acompanhar fornecedores; comunicar mudanças de escopo, profissionais, acessos ou encerramento contratual à TI.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Avaliar, dentro de suas competências, intervenções em sistemas legados, críticos e embarcados; validar riscos à segurança operacional; participar de testes e aprovar condições técnicas de retorno à operação.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Colaboradores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a PSI, proteger credenciais e informações, utilizar sistemas apenas para fins autorizados e comunicar imediatamente suspeitas ou ocorrências pelos canais definidos.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Fornecedores e prestadores de serviço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os requisitos contratuais e a PSI aplicável; utilizar somente acessos autorizados; manter credenciais protegidas; registrar e comunicar suspeitas de comprometimento e colaborar na investigação.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Monitoramento e Revisão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Os riscos e seus tratamentos serão monitorados continuamente e formalmente revisados, no mínimo, a cada trimestre. A revisão também deverá ocorrer após incidentes relevantes, mudanças em sistemas ou fornecedores, alterações contratuais, mudanças regulatórias e resultados de testes ou exercícios de continuidade que indiquem falhas. A revisão trimestral da PGR deve ser coordenada com os testes e revisões do PCN, cuja frequência proposta inclui simulação de mesa semestral, teste de comunicação trimestral e revisão após eventos ou mudanças relevantes, além de revisão anual proposta.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610"/>
        <w:gridCol w:w="3750"/>
        <w:gridCol w:w="1890"/>
        <w:tblGridChange w:id="0">
          <w:tblGrid>
            <w:gridCol w:w="645"/>
            <w:gridCol w:w="2610"/>
            <w:gridCol w:w="375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Situação da medida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/ pendência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Próxima revisão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evidências de proteção anti-DDoS, monitoramento e teste de continuidade; confirmar estratégia C01/C04 conforme o PCN. Backup isolado não mitiga ataque ativo.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ataque ou indisponibilidade relevante.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revisão de permissões, registros de emissão e evidências de análise de operações suspeitas.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tentativa ou confirmação de fraude.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 autorizações, MFA, logs de acesso remoto, cláusulas contratuais, revogação de acessos e integração com C03/C04; coordenar C02 se atingir sistema embarcado.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após mudança ou incidente de fornecedor.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avaliação dos sistemas legados, plano de atualização/substituição e evidências de continuidade operacional conforme seção 4 do PCN; confirmar dependências sem presumi-las.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falha, mudança técnica ou teste com resultado insatisfatório.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registros de autorização de alterações, verificação de integridade e avaliação técnica; conferir gatilhos de C02/C04 e evidências de liberação para retorno.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alteração, anomalia ou incidente.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 permissões, criptografia, registros de acesso e tratamento de alertas; avaliar comunicação 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ANPD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/titulares conforme PSI e seção 6 do PCN, quando aplicável.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suspeita de acesso indevido, vazamento ou mudança relevante no tratamento de dados.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Confirmar inventário, cobertura, cópia offline e resultados de restauração; alinhar a frequência de testes, pois o PCN diverge entre trimestral (seção 4.1) e semestral (seção 8).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falha, ataque, restauração mal sucedida ou mudança no PCN.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R08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inventário de ativos/versões, avaliações técnicas, correções priorizadas e registro de exceções; propor avaliar sua inclusão formal no PCN se houver impacto à continuidade.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vulnerabilidade relevante, mudança técnica, atualização ou incidente.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Perguntas para revisão: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 medida foi executada? Há evidência de que funciona? O risco mudou? Houve incidente ou teste que revelou uma falha? A PSI e o PCN precisam ser atualizados?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34e70"/>
          <w:sz w:val="21"/>
          <w:szCs w:val="21"/>
          <w:u w:val="none"/>
          <w:shd w:fill="auto" w:val="clear"/>
          <w:vertAlign w:val="baseline"/>
          <w:rtl w:val="0"/>
        </w:rPr>
        <w:t xml:space="preserve">Exemplo de registro: [Rxx | medida avaliada | evidência encontrada | decisão tomada | função responsável | data]. Se a medida ainda não tiver sido executada, registrar seu status como planejada.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Fontes externas: As referências abaixo apoiam os critérios de avaliação, tratamento, responsabilidades e monitoramento adotados nesta política.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Kit 2 — Gestão de Riscos de Segurança da Informação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SEST / Ministério do Planejamento / UnB, 2018, disponível no portal do MGI. Apoio para método, registro e tratamento de riscos.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Aena — Política de control y gestión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Aprovada em 26/05/2026. Apoio para o ciclo de avaliação, tratamento, responsabilidades e acompanhamento, adaptado ao contexto da AeroLog.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GOL — Política de Segurança da Informação para Terceiros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Revisão 01, 12/06/2025. Apoio para fornecedores, acesso, registros, backup e continuidade. Não copiar prazos contratuais para a AeroLog.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Conferência conjunta: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Verificar nomes de sistemas, funções organizacionais, riscos e cenários. Toda alteração de ID deve ser comunicada por Caio a Arthur, Isadora, Higor, Sabrina e Gustavo.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34e7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234e70"/>
          <w:sz w:val="21"/>
          <w:szCs w:val="21"/>
          <w:u w:val="none"/>
          <w:shd w:fill="auto" w:val="clear"/>
          <w:vertAlign w:val="baseline"/>
          <w:rtl w:val="0"/>
        </w:rPr>
        <w:t xml:space="preserve">Registro de premissas: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34e70"/>
          <w:sz w:val="21"/>
          <w:szCs w:val="21"/>
          <w:u w:val="none"/>
          <w:shd w:fill="auto" w:val="clear"/>
          <w:vertAlign w:val="baseline"/>
          <w:rtl w:val="0"/>
        </w:rPr>
        <w:t xml:space="preserve">[Listar as escolhas aprovadas, os documentos afetados e a justificativa. Não registrar medidas propostas como controles existentes.]</w:t>
      </w:r>
    </w:p>
    <w:sectPr>
      <w:headerReference r:id="rId16" w:type="default"/>
      <w:footerReference r:id="rId17" w:type="default"/>
      <w:type w:val="nextPage"/>
      <w:pgSz w:h="16838" w:w="11906" w:orient="portrait"/>
      <w:pgMar w:bottom="1020" w:top="1020" w:left="1134" w:right="1134" w:header="397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jc w:val="right"/>
      <w:rPr/>
    </w:pPr>
    <w:r w:rsidDel="00000000" w:rsidR="00000000" w:rsidRPr="00000000">
      <w:rPr>
        <w:sz w:val="16"/>
        <w:szCs w:val="16"/>
        <w:rtl w:val="0"/>
      </w:rPr>
      <w:t xml:space="preserve">AeroLog | PGR | Uso interno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0"/>
      <w:bCs w:val="0"/>
      <w:i w:val="0"/>
      <w:iCs w:val="0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www.gov.br/gestao/pt-br/assuntos/estatais/central-de-conteudo/kits-governanca-ti/kit-2/gestao-de-riscos-de-seguranca-da-informacao/kit-2-governanca-tic-artefato-gestao-de-riscos-de-seguranca-da-informacao.pdf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4" Type="http://schemas.openxmlformats.org/officeDocument/2006/relationships/hyperlink" Target="https://www.aena.es/sites/Satellite?blobcol=urldata&amp;blobkey=id&amp;blobtable=MungoBlobs&amp;blobwhere=1576874115175&amp;ssbinary=true" TargetMode="Externa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2026-08-20T00:00:00Z</vt:lpwstr>
  </property>
</Properties>
</file>