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8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46341" cy="42748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341" cy="42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128"/>
        <w:ind w:left="0" w:right="1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UNIPAM</w:t>
      </w:r>
    </w:p>
    <w:p>
      <w:pPr>
        <w:pStyle w:val="Heading4"/>
        <w:spacing w:before="92"/>
        <w:ind w:left="1" w:right="1" w:firstLine="0"/>
        <w:jc w:val="center"/>
      </w:pPr>
      <w:r>
        <w:rPr/>
        <w:t>CURSO DE SISTEMAS DE </w:t>
      </w:r>
      <w:r>
        <w:rPr>
          <w:spacing w:val="-2"/>
        </w:rPr>
        <w:t>INFORMAÇÃO</w:t>
      </w:r>
    </w:p>
    <w:p>
      <w:pPr>
        <w:spacing w:before="117"/>
        <w:ind w:left="0" w:right="1" w:firstLine="0"/>
        <w:jc w:val="center"/>
        <w:rPr>
          <w:sz w:val="24"/>
        </w:rPr>
      </w:pPr>
      <w:r>
        <w:rPr>
          <w:sz w:val="24"/>
        </w:rPr>
        <w:t>Auditoria e Segurança de </w:t>
      </w:r>
      <w:r>
        <w:rPr>
          <w:spacing w:val="-2"/>
          <w:sz w:val="24"/>
        </w:rPr>
        <w:t>Sistemas</w:t>
      </w:r>
    </w:p>
    <w:p>
      <w:pPr>
        <w:pStyle w:val="BodyText"/>
        <w:spacing w:before="96"/>
        <w:ind w:left="1" w:right="1"/>
        <w:jc w:val="center"/>
      </w:pPr>
      <w:r>
        <w:rPr/>
        <w:t>Turma / período: Sistemas de Informação 6º </w:t>
      </w:r>
      <w:r>
        <w:rPr>
          <w:spacing w:val="-10"/>
        </w:rPr>
        <w:t>B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41"/>
        <w:ind w:left="0" w:right="0"/>
        <w:jc w:val="left"/>
      </w:pPr>
    </w:p>
    <w:p>
      <w:pPr>
        <w:spacing w:before="0"/>
        <w:ind w:left="0" w:right="1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EQUIPE</w:t>
      </w:r>
    </w:p>
    <w:p>
      <w:pPr>
        <w:spacing w:line="312" w:lineRule="auto" w:before="222"/>
        <w:ind w:left="3501" w:right="3499" w:firstLine="0"/>
        <w:jc w:val="center"/>
        <w:rPr>
          <w:sz w:val="22"/>
        </w:rPr>
      </w:pPr>
      <w:r>
        <w:rPr>
          <w:sz w:val="22"/>
        </w:rPr>
        <w:t>Arthur Aparecido Sousa Silva Caio Cesar Alves de Freitas Gustavo</w:t>
      </w:r>
      <w:r>
        <w:rPr>
          <w:spacing w:val="-9"/>
          <w:sz w:val="22"/>
        </w:rPr>
        <w:t> </w:t>
      </w:r>
      <w:r>
        <w:rPr>
          <w:sz w:val="22"/>
        </w:rPr>
        <w:t>Jesus</w:t>
      </w:r>
      <w:r>
        <w:rPr>
          <w:spacing w:val="-9"/>
          <w:sz w:val="22"/>
        </w:rPr>
        <w:t> </w:t>
      </w:r>
      <w:r>
        <w:rPr>
          <w:sz w:val="22"/>
        </w:rPr>
        <w:t>Damiço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Sousa Higor Honório Silva</w:t>
      </w:r>
    </w:p>
    <w:p>
      <w:pPr>
        <w:spacing w:line="312" w:lineRule="auto" w:before="3"/>
        <w:ind w:left="3803" w:right="3801" w:firstLine="0"/>
        <w:jc w:val="center"/>
        <w:rPr>
          <w:sz w:val="22"/>
        </w:rPr>
      </w:pPr>
      <w:r>
        <w:rPr>
          <w:sz w:val="22"/>
        </w:rPr>
        <w:t>Isadora</w:t>
      </w:r>
      <w:r>
        <w:rPr>
          <w:spacing w:val="-13"/>
          <w:sz w:val="22"/>
        </w:rPr>
        <w:t> </w:t>
      </w:r>
      <w:r>
        <w:rPr>
          <w:sz w:val="22"/>
        </w:rPr>
        <w:t>Santos</w:t>
      </w:r>
      <w:r>
        <w:rPr>
          <w:spacing w:val="-12"/>
          <w:sz w:val="22"/>
        </w:rPr>
        <w:t> </w:t>
      </w:r>
      <w:r>
        <w:rPr>
          <w:sz w:val="22"/>
        </w:rPr>
        <w:t>Leal Sabrina Naoko </w:t>
      </w:r>
      <w:r>
        <w:rPr>
          <w:spacing w:val="-2"/>
          <w:sz w:val="22"/>
        </w:rPr>
        <w:t>Ishii</w:t>
      </w: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193"/>
        <w:ind w:left="0" w:right="0"/>
        <w:jc w:val="left"/>
        <w:rPr>
          <w:sz w:val="22"/>
        </w:rPr>
      </w:pPr>
    </w:p>
    <w:p>
      <w:pPr>
        <w:pStyle w:val="Heading1"/>
      </w:pPr>
      <w:r>
        <w:rPr/>
        <w:t>Política de Segurança da </w:t>
      </w:r>
      <w:r>
        <w:rPr>
          <w:spacing w:val="-2"/>
        </w:rPr>
        <w:t>Informação</w:t>
      </w:r>
    </w:p>
    <w:p>
      <w:pPr>
        <w:pStyle w:val="Heading3"/>
        <w:ind w:left="1"/>
      </w:pPr>
      <w:r>
        <w:rPr/>
        <w:t>AeroLog Transportes </w:t>
      </w:r>
      <w:r>
        <w:rPr>
          <w:spacing w:val="-2"/>
        </w:rPr>
        <w:t>Aéreos</w:t>
      </w:r>
    </w:p>
    <w:p>
      <w:pPr>
        <w:spacing w:before="181"/>
        <w:ind w:left="0" w:right="1" w:firstLine="0"/>
        <w:jc w:val="center"/>
        <w:rPr>
          <w:sz w:val="22"/>
        </w:rPr>
      </w:pPr>
      <w:r>
        <w:rPr>
          <w:spacing w:val="-5"/>
          <w:sz w:val="22"/>
        </w:rPr>
        <w:t>PSI</w:t>
      </w: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81"/>
        <w:ind w:left="0" w:right="0"/>
        <w:jc w:val="left"/>
        <w:rPr>
          <w:sz w:val="22"/>
        </w:rPr>
      </w:pPr>
    </w:p>
    <w:p>
      <w:pPr>
        <w:spacing w:line="348" w:lineRule="auto" w:before="1"/>
        <w:ind w:left="3857" w:right="3855" w:firstLine="0"/>
        <w:jc w:val="center"/>
        <w:rPr>
          <w:sz w:val="22"/>
        </w:rPr>
      </w:pPr>
      <w:r>
        <w:rPr>
          <w:sz w:val="22"/>
        </w:rPr>
        <w:t>Patos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Minas</w:t>
      </w:r>
      <w:r>
        <w:rPr>
          <w:spacing w:val="-9"/>
          <w:sz w:val="22"/>
        </w:rPr>
        <w:t> </w:t>
      </w:r>
      <w:r>
        <w:rPr>
          <w:sz w:val="22"/>
        </w:rPr>
        <w:t>-</w:t>
      </w:r>
      <w:r>
        <w:rPr>
          <w:spacing w:val="-9"/>
          <w:sz w:val="22"/>
        </w:rPr>
        <w:t> </w:t>
      </w:r>
      <w:r>
        <w:rPr>
          <w:sz w:val="22"/>
        </w:rPr>
        <w:t>MG </w:t>
      </w:r>
      <w:r>
        <w:rPr>
          <w:spacing w:val="-4"/>
          <w:sz w:val="22"/>
        </w:rPr>
        <w:t>2026</w:t>
      </w:r>
    </w:p>
    <w:p>
      <w:pPr>
        <w:spacing w:after="0" w:line="348" w:lineRule="auto"/>
        <w:jc w:val="center"/>
        <w:rPr>
          <w:sz w:val="22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spacing w:before="27"/>
        <w:ind w:left="0" w:right="1" w:firstLine="0"/>
        <w:jc w:val="center"/>
        <w:rPr>
          <w:b/>
          <w:sz w:val="24"/>
        </w:rPr>
      </w:pPr>
      <w:r>
        <w:rPr>
          <w:b/>
          <w:sz w:val="24"/>
        </w:rPr>
        <w:t>AeroLog Transportes </w:t>
      </w:r>
      <w:r>
        <w:rPr>
          <w:b/>
          <w:spacing w:val="-2"/>
          <w:sz w:val="24"/>
        </w:rPr>
        <w:t>Aéreos</w:t>
      </w:r>
    </w:p>
    <w:p>
      <w:pPr>
        <w:pStyle w:val="BodyText"/>
        <w:spacing w:before="0"/>
        <w:ind w:left="0" w:right="0"/>
        <w:jc w:val="left"/>
        <w:rPr>
          <w:b/>
          <w:sz w:val="24"/>
        </w:rPr>
      </w:pPr>
    </w:p>
    <w:p>
      <w:pPr>
        <w:pStyle w:val="BodyText"/>
        <w:spacing w:before="0"/>
        <w:ind w:left="0" w:right="0"/>
        <w:jc w:val="left"/>
        <w:rPr>
          <w:b/>
          <w:sz w:val="24"/>
        </w:rPr>
      </w:pPr>
    </w:p>
    <w:p>
      <w:pPr>
        <w:pStyle w:val="BodyText"/>
        <w:spacing w:before="0"/>
        <w:ind w:left="0" w:right="0"/>
        <w:jc w:val="left"/>
        <w:rPr>
          <w:b/>
          <w:sz w:val="24"/>
        </w:rPr>
      </w:pPr>
    </w:p>
    <w:p>
      <w:pPr>
        <w:pStyle w:val="BodyText"/>
        <w:spacing w:before="0"/>
        <w:ind w:left="0" w:right="0"/>
        <w:jc w:val="left"/>
        <w:rPr>
          <w:b/>
          <w:sz w:val="24"/>
        </w:rPr>
      </w:pPr>
    </w:p>
    <w:p>
      <w:pPr>
        <w:pStyle w:val="BodyText"/>
        <w:spacing w:before="60"/>
        <w:ind w:left="0" w:right="0"/>
        <w:jc w:val="left"/>
        <w:rPr>
          <w:b/>
          <w:sz w:val="24"/>
        </w:rPr>
      </w:pPr>
    </w:p>
    <w:p>
      <w:pPr>
        <w:pStyle w:val="Heading1"/>
      </w:pPr>
      <w:r>
        <w:rPr/>
        <w:t>Política de Segurança da </w:t>
      </w:r>
      <w:r>
        <w:rPr>
          <w:spacing w:val="-2"/>
        </w:rPr>
        <w:t>Informação</w:t>
      </w:r>
    </w:p>
    <w:p>
      <w:pPr>
        <w:pStyle w:val="Heading3"/>
      </w:pPr>
      <w:r>
        <w:rPr>
          <w:spacing w:val="-5"/>
        </w:rPr>
        <w:t>PSI</w:t>
      </w:r>
    </w:p>
    <w:p>
      <w:pPr>
        <w:pStyle w:val="BodyText"/>
        <w:spacing w:before="0"/>
        <w:ind w:left="0" w:right="0"/>
        <w:jc w:val="left"/>
        <w:rPr>
          <w:i/>
          <w:sz w:val="26"/>
        </w:rPr>
      </w:pPr>
    </w:p>
    <w:p>
      <w:pPr>
        <w:pStyle w:val="BodyText"/>
        <w:spacing w:before="85"/>
        <w:ind w:left="0" w:right="0"/>
        <w:jc w:val="left"/>
        <w:rPr>
          <w:i/>
          <w:sz w:val="26"/>
        </w:rPr>
      </w:pPr>
    </w:p>
    <w:p>
      <w:pPr>
        <w:pStyle w:val="BodyText"/>
        <w:spacing w:line="252" w:lineRule="auto" w:before="1"/>
        <w:ind w:left="4393"/>
      </w:pPr>
      <w:r>
        <w:rPr/>
        <w:t>Política de Segurança da Informação apresentada à </w:t>
      </w:r>
      <w:r>
        <w:rPr/>
        <w:t>disciplina de</w:t>
      </w:r>
      <w:r>
        <w:rPr>
          <w:spacing w:val="-1"/>
        </w:rPr>
        <w:t> </w:t>
      </w:r>
      <w:r>
        <w:rPr/>
        <w:t>Auditoria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Segurança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Sistemas,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curso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Sistemas</w:t>
      </w:r>
      <w:r>
        <w:rPr>
          <w:spacing w:val="-1"/>
        </w:rPr>
        <w:t> </w:t>
      </w:r>
      <w:r>
        <w:rPr/>
        <w:t>de Informação da UNIPAM.</w:t>
      </w:r>
    </w:p>
    <w:p>
      <w:pPr>
        <w:pStyle w:val="BodyText"/>
        <w:spacing w:before="242"/>
        <w:ind w:left="4393" w:right="0"/>
      </w:pPr>
      <w:r>
        <w:rPr/>
        <w:t>Professor: Eder Manoel de </w:t>
      </w:r>
      <w:r>
        <w:rPr>
          <w:spacing w:val="-2"/>
        </w:rPr>
        <w:t>Santana</w:t>
      </w:r>
    </w:p>
    <w:p>
      <w:pPr>
        <w:pStyle w:val="BodyText"/>
        <w:spacing w:line="345" w:lineRule="auto" w:before="114"/>
        <w:ind w:left="4393" w:right="1239"/>
        <w:jc w:val="left"/>
      </w:pPr>
      <w:r>
        <w:rPr/>
        <w:t>Turma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período:</w:t>
      </w:r>
      <w:r>
        <w:rPr>
          <w:spacing w:val="-5"/>
        </w:rPr>
        <w:t> </w:t>
      </w:r>
      <w:r>
        <w:rPr/>
        <w:t>Sistemas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Informação</w:t>
      </w:r>
      <w:r>
        <w:rPr>
          <w:spacing w:val="-5"/>
        </w:rPr>
        <w:t> </w:t>
      </w:r>
      <w:r>
        <w:rPr/>
        <w:t>6º</w:t>
      </w:r>
      <w:r>
        <w:rPr>
          <w:spacing w:val="-5"/>
        </w:rPr>
        <w:t> </w:t>
      </w:r>
      <w:r>
        <w:rPr/>
        <w:t>B Data de entrega: 18/10/2026</w:t>
      </w:r>
    </w:p>
    <w:p>
      <w:pPr>
        <w:pStyle w:val="BodyText"/>
        <w:spacing w:before="125"/>
        <w:ind w:left="0" w:right="0"/>
        <w:jc w:val="left"/>
      </w:pPr>
    </w:p>
    <w:p>
      <w:pPr>
        <w:pStyle w:val="BodyText"/>
        <w:spacing w:line="403" w:lineRule="auto" w:before="0"/>
        <w:ind w:left="3803" w:right="3801"/>
        <w:jc w:val="center"/>
      </w:pPr>
      <w:r>
        <w:rPr/>
        <w:t>Classificação:</w:t>
      </w:r>
      <w:r>
        <w:rPr>
          <w:spacing w:val="-12"/>
        </w:rPr>
        <w:t> </w:t>
      </w:r>
      <w:r>
        <w:rPr/>
        <w:t>Uso</w:t>
      </w:r>
      <w:r>
        <w:rPr>
          <w:spacing w:val="-12"/>
        </w:rPr>
        <w:t> </w:t>
      </w:r>
      <w:r>
        <w:rPr/>
        <w:t>interno Versão: 0.2</w:t>
      </w:r>
    </w:p>
    <w:p>
      <w:pPr>
        <w:pStyle w:val="BodyText"/>
        <w:spacing w:before="179"/>
        <w:ind w:left="1" w:right="1"/>
        <w:jc w:val="center"/>
      </w:pPr>
      <w:r>
        <w:rPr/>
        <w:t>Responsável pela elaboração: Gestão de Segurança da </w:t>
      </w:r>
      <w:r>
        <w:rPr>
          <w:spacing w:val="-2"/>
        </w:rPr>
        <w:t>Informação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219"/>
        <w:ind w:left="0" w:right="0"/>
        <w:jc w:val="left"/>
      </w:pPr>
    </w:p>
    <w:p>
      <w:pPr>
        <w:spacing w:line="348" w:lineRule="auto" w:before="0"/>
        <w:ind w:left="3857" w:right="3855" w:firstLine="0"/>
        <w:jc w:val="center"/>
        <w:rPr>
          <w:sz w:val="22"/>
        </w:rPr>
      </w:pPr>
      <w:r>
        <w:rPr>
          <w:sz w:val="22"/>
        </w:rPr>
        <w:t>Patos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Minas</w:t>
      </w:r>
      <w:r>
        <w:rPr>
          <w:spacing w:val="-9"/>
          <w:sz w:val="22"/>
        </w:rPr>
        <w:t> </w:t>
      </w:r>
      <w:r>
        <w:rPr>
          <w:sz w:val="22"/>
        </w:rPr>
        <w:t>-</w:t>
      </w:r>
      <w:r>
        <w:rPr>
          <w:spacing w:val="-9"/>
          <w:sz w:val="22"/>
        </w:rPr>
        <w:t> </w:t>
      </w:r>
      <w:r>
        <w:rPr>
          <w:sz w:val="22"/>
        </w:rPr>
        <w:t>MG </w:t>
      </w:r>
      <w:r>
        <w:rPr>
          <w:spacing w:val="-4"/>
          <w:sz w:val="22"/>
        </w:rPr>
        <w:t>2026</w:t>
      </w:r>
    </w:p>
    <w:p>
      <w:pPr>
        <w:spacing w:after="0" w:line="348" w:lineRule="auto"/>
        <w:jc w:val="center"/>
        <w:rPr>
          <w:sz w:val="22"/>
        </w:rPr>
        <w:sectPr>
          <w:pgSz w:w="11910" w:h="16840"/>
          <w:pgMar w:top="1100" w:bottom="280" w:left="992" w:right="992"/>
        </w:sectPr>
      </w:pPr>
    </w:p>
    <w:p>
      <w:pPr>
        <w:pStyle w:val="Heading2"/>
        <w:numPr>
          <w:ilvl w:val="0"/>
          <w:numId w:val="1"/>
        </w:numPr>
        <w:tabs>
          <w:tab w:pos="441" w:val="left" w:leader="none"/>
        </w:tabs>
        <w:spacing w:line="240" w:lineRule="auto" w:before="10" w:after="0"/>
        <w:ind w:left="441" w:right="0" w:hanging="300"/>
        <w:jc w:val="left"/>
      </w:pPr>
      <w:r>
        <w:rPr>
          <w:spacing w:val="-2"/>
        </w:rPr>
        <w:t>Objetivo</w:t>
      </w:r>
    </w:p>
    <w:p>
      <w:pPr>
        <w:pStyle w:val="BodyText"/>
        <w:spacing w:line="252" w:lineRule="auto" w:before="150"/>
        <w:ind w:left="141"/>
      </w:pPr>
      <w:r>
        <w:rPr/>
        <w:t>Esta Política de Segurança da Informação estabelece princípios e diretrizes para proteger as informações e </w:t>
      </w:r>
      <w:r>
        <w:rPr/>
        <w:t>os sistemas da AeroLog Transportes Aéreos, incluindo os dados dos passageiros, os sistemas de reservas e de controle e os sistemas críticos embarcados em aeronaves. Seu objetivo é preservar a confidencialidade, a integridade e a disponibilidade das informações, orientar a prevenção de incidentes de segurança e contribuir para a continuidade dos serviços críticos que apoiam as operações de transporte de cargas e passageiros.</w:t>
      </w:r>
    </w:p>
    <w:p>
      <w:pPr>
        <w:pStyle w:val="Heading2"/>
        <w:numPr>
          <w:ilvl w:val="0"/>
          <w:numId w:val="1"/>
        </w:numPr>
        <w:tabs>
          <w:tab w:pos="441" w:val="left" w:leader="none"/>
        </w:tabs>
        <w:spacing w:line="240" w:lineRule="auto" w:before="248" w:after="0"/>
        <w:ind w:left="441" w:right="0" w:hanging="300"/>
        <w:jc w:val="left"/>
      </w:pPr>
      <w:r>
        <w:rPr>
          <w:spacing w:val="-2"/>
        </w:rPr>
        <w:t>Escopo</w:t>
      </w:r>
    </w:p>
    <w:p>
      <w:pPr>
        <w:pStyle w:val="BodyText"/>
        <w:spacing w:line="252" w:lineRule="auto" w:before="150"/>
        <w:ind w:left="141"/>
      </w:pPr>
      <w:r>
        <w:rPr/>
        <w:t>Esta política aplica-se a todos os colaboradores da AeroLog Transportes Aéreos, incluindo as equipes de TI, pilotos, engenheiros aeronáuticos, manutenção e administração, bem como aos prestadores de serviço e fornecedores nacionais ou internacionais que tenham acesso às informações ou aos sistemas da empresa no exercício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suas</w:t>
      </w:r>
      <w:r>
        <w:rPr>
          <w:spacing w:val="-5"/>
        </w:rPr>
        <w:t> </w:t>
      </w:r>
      <w:r>
        <w:rPr/>
        <w:t>atividades.</w:t>
      </w:r>
      <w:r>
        <w:rPr>
          <w:spacing w:val="-5"/>
        </w:rPr>
        <w:t> </w:t>
      </w:r>
      <w:r>
        <w:rPr/>
        <w:t>Abrange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informações</w:t>
      </w:r>
      <w:r>
        <w:rPr>
          <w:spacing w:val="-5"/>
        </w:rPr>
        <w:t> </w:t>
      </w:r>
      <w:r>
        <w:rPr/>
        <w:t>relacionadas</w:t>
      </w:r>
      <w:r>
        <w:rPr>
          <w:spacing w:val="-5"/>
        </w:rPr>
        <w:t> </w:t>
      </w:r>
      <w:r>
        <w:rPr/>
        <w:t>às</w:t>
      </w:r>
      <w:r>
        <w:rPr>
          <w:spacing w:val="-5"/>
        </w:rPr>
        <w:t> </w:t>
      </w:r>
      <w:r>
        <w:rPr/>
        <w:t>atividades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AeroLog,</w:t>
      </w:r>
      <w:r>
        <w:rPr>
          <w:spacing w:val="-5"/>
        </w:rPr>
        <w:t> </w:t>
      </w:r>
      <w:r>
        <w:rPr/>
        <w:t>independentemente de</w:t>
      </w:r>
      <w:r>
        <w:rPr>
          <w:spacing w:val="-4"/>
        </w:rPr>
        <w:t> </w:t>
      </w:r>
      <w:r>
        <w:rPr/>
        <w:t>seu</w:t>
      </w:r>
      <w:r>
        <w:rPr>
          <w:spacing w:val="-4"/>
        </w:rPr>
        <w:t> </w:t>
      </w:r>
      <w:r>
        <w:rPr/>
        <w:t>formato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meio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armazenamento,</w:t>
      </w:r>
      <w:r>
        <w:rPr>
          <w:spacing w:val="-4"/>
        </w:rPr>
        <w:t> </w:t>
      </w:r>
      <w:r>
        <w:rPr/>
        <w:t>processamento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transmissão,</w:t>
      </w:r>
      <w:r>
        <w:rPr>
          <w:spacing w:val="-4"/>
        </w:rPr>
        <w:t> </w:t>
      </w:r>
      <w:r>
        <w:rPr/>
        <w:t>incluindo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passageiros. Também compreende os servidores locais, os sistemas de reservas e de controle das operações aéreas e os sistemas críticos embarcados em aeronaves, incluindo o software de navegação.</w:t>
      </w:r>
    </w:p>
    <w:p>
      <w:pPr>
        <w:pStyle w:val="Heading2"/>
        <w:numPr>
          <w:ilvl w:val="0"/>
          <w:numId w:val="1"/>
        </w:numPr>
        <w:tabs>
          <w:tab w:pos="441" w:val="left" w:leader="none"/>
        </w:tabs>
        <w:spacing w:line="240" w:lineRule="auto" w:before="250" w:after="0"/>
        <w:ind w:left="441" w:right="0" w:hanging="300"/>
        <w:jc w:val="left"/>
      </w:pPr>
      <w:r>
        <w:rPr/>
        <w:t>Princípios de Segurança da </w:t>
      </w:r>
      <w:r>
        <w:rPr>
          <w:spacing w:val="-2"/>
        </w:rPr>
        <w:t>Informação</w:t>
      </w:r>
    </w:p>
    <w:p>
      <w:pPr>
        <w:pStyle w:val="BodyText"/>
        <w:spacing w:line="252" w:lineRule="auto" w:before="149"/>
        <w:ind w:left="141"/>
      </w:pPr>
      <w:r>
        <w:rPr/>
        <w:t>A segurança da informação da AeroLog Transportes Aéreos deve observar os seguintes princípios, aplicáveis </w:t>
      </w:r>
      <w:r>
        <w:rPr/>
        <w:t>às informações independentemente de seu formato e aos sistemas que as armazenam, processam ou transmitem:</w:t>
      </w:r>
    </w:p>
    <w:p>
      <w:pPr>
        <w:pStyle w:val="BodyText"/>
        <w:spacing w:line="252" w:lineRule="auto"/>
        <w:ind w:left="141"/>
      </w:pPr>
      <w:r>
        <w:rPr>
          <w:b/>
        </w:rPr>
        <w:t>Confidencialidade: </w:t>
      </w:r>
      <w:r>
        <w:rPr/>
        <w:t>as informações devem ser acessadas e divulgadas somente a pessoas autorizadas, </w:t>
      </w:r>
      <w:r>
        <w:rPr/>
        <w:t>conforme suas atribuições e necessidades de trabalho.</w:t>
      </w:r>
    </w:p>
    <w:p>
      <w:pPr>
        <w:pStyle w:val="BodyText"/>
        <w:spacing w:line="252" w:lineRule="auto"/>
        <w:ind w:left="141"/>
      </w:pPr>
      <w:r>
        <w:rPr>
          <w:b/>
        </w:rPr>
        <w:t>Integridade: </w:t>
      </w:r>
      <w:r>
        <w:rPr/>
        <w:t>as informações devem ser protegidas contra alterações e destruição indevidas, preservando sua exatidão e completude, especialmente nos registros de reservas, nos dados dos passageiros e nas informações que apoiam as operações aéreas.</w:t>
      </w:r>
    </w:p>
    <w:p>
      <w:pPr>
        <w:pStyle w:val="BodyText"/>
        <w:spacing w:line="252" w:lineRule="auto"/>
        <w:ind w:left="141"/>
      </w:pPr>
      <w:r>
        <w:rPr>
          <w:b/>
        </w:rPr>
        <w:t>Disponibilidade: </w:t>
      </w:r>
      <w:r>
        <w:rPr/>
        <w:t>as informações e os sistemas devem estar acessíveis aos usuários autorizados quando necessários às suas atividades, considerando a criticidade dos serviços e as necessidades de continuidade das </w:t>
      </w:r>
      <w:r>
        <w:rPr>
          <w:spacing w:val="-2"/>
        </w:rPr>
        <w:t>operações.</w:t>
      </w:r>
    </w:p>
    <w:p>
      <w:pPr>
        <w:pStyle w:val="BodyText"/>
        <w:spacing w:line="252" w:lineRule="auto" w:before="123"/>
        <w:ind w:left="141"/>
      </w:pPr>
      <w:r>
        <w:rPr>
          <w:b/>
        </w:rPr>
        <w:t>Autenticidade: </w:t>
      </w:r>
      <w:r>
        <w:rPr/>
        <w:t>devem ser adotadas medidas que permitam verificar a identidade dos usuários e a origem das informações, contribuindo para prevenir acessos fraudulentos e o uso de informações de origem não confiável.</w:t>
      </w:r>
    </w:p>
    <w:p>
      <w:pPr>
        <w:pStyle w:val="BodyText"/>
        <w:spacing w:line="252" w:lineRule="auto" w:before="121"/>
        <w:ind w:left="141"/>
      </w:pPr>
      <w:r>
        <w:rPr>
          <w:b/>
        </w:rPr>
        <w:t>Menor privilégio: </w:t>
      </w:r>
      <w:r>
        <w:rPr/>
        <w:t>as permissões concedidas a colaboradores, prestadores de serviço e fornecedores devem se limitar às ações necessárias ao desempenho de suas funções e atividades autorizadas.</w:t>
      </w:r>
    </w:p>
    <w:p>
      <w:pPr>
        <w:pStyle w:val="BodyText"/>
        <w:spacing w:line="252" w:lineRule="auto"/>
        <w:ind w:left="141"/>
      </w:pPr>
      <w:r>
        <w:rPr>
          <w:b/>
        </w:rPr>
        <w:t>Necessidade de acesso: </w:t>
      </w:r>
      <w:r>
        <w:rPr/>
        <w:t>o acesso às informações deve estar vinculado a uma necessidade de trabalho. A autorização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utilizar</w:t>
      </w:r>
      <w:r>
        <w:rPr>
          <w:spacing w:val="-1"/>
        </w:rPr>
        <w:t> </w:t>
      </w:r>
      <w:r>
        <w:rPr/>
        <w:t>um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não</w:t>
      </w:r>
      <w:r>
        <w:rPr>
          <w:spacing w:val="-1"/>
        </w:rPr>
        <w:t> </w:t>
      </w:r>
      <w:r>
        <w:rPr/>
        <w:t>implica</w:t>
      </w:r>
      <w:r>
        <w:rPr>
          <w:spacing w:val="-1"/>
        </w:rPr>
        <w:t> </w:t>
      </w:r>
      <w:r>
        <w:rPr/>
        <w:t>permissão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consultar</w:t>
      </w:r>
      <w:r>
        <w:rPr>
          <w:spacing w:val="-1"/>
        </w:rPr>
        <w:t> </w:t>
      </w:r>
      <w:r>
        <w:rPr/>
        <w:t>todas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informações</w:t>
      </w:r>
      <w:r>
        <w:rPr>
          <w:spacing w:val="-1"/>
        </w:rPr>
        <w:t> </w:t>
      </w:r>
      <w:r>
        <w:rPr/>
        <w:t>nele</w:t>
      </w:r>
      <w:r>
        <w:rPr>
          <w:spacing w:val="-1"/>
        </w:rPr>
        <w:t> </w:t>
      </w:r>
      <w:r>
        <w:rPr>
          <w:spacing w:val="-2"/>
        </w:rPr>
        <w:t>disponíveis.</w:t>
      </w:r>
    </w:p>
    <w:p>
      <w:pPr>
        <w:pStyle w:val="BodyText"/>
        <w:spacing w:line="252" w:lineRule="auto"/>
        <w:ind w:left="141"/>
      </w:pPr>
      <w:r>
        <w:rPr>
          <w:b/>
        </w:rPr>
        <w:t>Proteção de dados pessoais: </w:t>
      </w:r>
      <w:r>
        <w:rPr/>
        <w:t>os dados pessoais, incluindo os dos passageiros, devem ser tratados para finalidades</w:t>
      </w:r>
      <w:r>
        <w:rPr>
          <w:spacing w:val="-4"/>
        </w:rPr>
        <w:t> </w:t>
      </w:r>
      <w:r>
        <w:rPr/>
        <w:t>legítimas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específicas,</w:t>
      </w:r>
      <w:r>
        <w:rPr>
          <w:spacing w:val="-4"/>
        </w:rPr>
        <w:t> </w:t>
      </w:r>
      <w:r>
        <w:rPr/>
        <w:t>limitados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necessário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essas</w:t>
      </w:r>
      <w:r>
        <w:rPr>
          <w:spacing w:val="-4"/>
        </w:rPr>
        <w:t> </w:t>
      </w:r>
      <w:r>
        <w:rPr/>
        <w:t>finalidades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protegidos</w:t>
      </w:r>
      <w:r>
        <w:rPr>
          <w:spacing w:val="-4"/>
        </w:rPr>
        <w:t> </w:t>
      </w:r>
      <w:r>
        <w:rPr/>
        <w:t>contra</w:t>
      </w:r>
      <w:r>
        <w:rPr>
          <w:spacing w:val="-4"/>
        </w:rPr>
        <w:t> </w:t>
      </w:r>
      <w:r>
        <w:rPr/>
        <w:t>acesso,</w:t>
      </w:r>
      <w:r>
        <w:rPr>
          <w:spacing w:val="-4"/>
        </w:rPr>
        <w:t> </w:t>
      </w:r>
      <w:r>
        <w:rPr/>
        <w:t>uso, alteração ou divulgação indevidos, respeitando os direitos dos titulares e a legislação aplicável.</w:t>
      </w:r>
    </w:p>
    <w:p>
      <w:pPr>
        <w:pStyle w:val="BodyText"/>
        <w:spacing w:after="0" w:line="252" w:lineRule="auto"/>
        <w:sectPr>
          <w:footerReference w:type="default" r:id="rId6"/>
          <w:pgSz w:w="11910" w:h="16840"/>
          <w:pgMar w:header="0" w:footer="334" w:top="1120" w:bottom="560" w:left="992" w:right="992"/>
          <w:pgNumType w:start="3"/>
        </w:sectPr>
      </w:pPr>
    </w:p>
    <w:p>
      <w:pPr>
        <w:pStyle w:val="Heading2"/>
        <w:numPr>
          <w:ilvl w:val="0"/>
          <w:numId w:val="1"/>
        </w:numPr>
        <w:tabs>
          <w:tab w:pos="441" w:val="left" w:leader="none"/>
        </w:tabs>
        <w:spacing w:line="240" w:lineRule="auto" w:before="10" w:after="0"/>
        <w:ind w:left="441" w:right="0" w:hanging="300"/>
        <w:jc w:val="both"/>
      </w:pPr>
      <w:r>
        <w:rPr/>
        <w:t>Diretrizes de </w:t>
      </w:r>
      <w:r>
        <w:rPr>
          <w:spacing w:val="-2"/>
        </w:rPr>
        <w:t>Segurança</w:t>
      </w:r>
    </w:p>
    <w:p>
      <w:pPr>
        <w:pStyle w:val="BodyText"/>
        <w:spacing w:line="252" w:lineRule="auto" w:before="150"/>
        <w:ind w:left="141"/>
      </w:pPr>
      <w:r>
        <w:rPr/>
        <w:t>As diretrizes desta seção estabelecem as regras para a proteção das informações e dos sistemas da AeroLog Transportes Aéreos. Abrangem o controle de acesso, a proteção dos sistemas de reservas e dos dados dos passageiros, a segurança dos sistemas críticos e embarcados, o acesso de fornecedores, a gestão </w:t>
      </w:r>
      <w:r>
        <w:rPr/>
        <w:t>de vulnerabilidades e atualizações, os backups e a recuperação, o tratamento de incidentes e a capacitação dos colaboradores. Seu cumprimento deve observar o escopo e as responsabilidades definidos nesta política, considerando a criticidade dos sistemas e a segurança das operações aéreas. Essas diretrizes devem orientar os tratamentos estabelecidos na PGR e as estratégias de continuidade e recuperação previstas no PCN.</w:t>
      </w:r>
    </w:p>
    <w:p>
      <w:pPr>
        <w:pStyle w:val="Heading4"/>
        <w:numPr>
          <w:ilvl w:val="1"/>
          <w:numId w:val="1"/>
        </w:numPr>
        <w:tabs>
          <w:tab w:pos="502" w:val="left" w:leader="none"/>
        </w:tabs>
        <w:spacing w:line="240" w:lineRule="auto" w:before="247" w:after="0"/>
        <w:ind w:left="502" w:right="0" w:hanging="361"/>
        <w:jc w:val="both"/>
      </w:pPr>
      <w:r>
        <w:rPr/>
        <w:t>Controle de </w:t>
      </w:r>
      <w:r>
        <w:rPr>
          <w:spacing w:val="-2"/>
        </w:rPr>
        <w:t>acesso</w:t>
      </w:r>
    </w:p>
    <w:p>
      <w:pPr>
        <w:pStyle w:val="BodyText"/>
        <w:spacing w:line="252" w:lineRule="auto" w:before="145"/>
        <w:ind w:left="141"/>
      </w:pPr>
      <w:r>
        <w:rPr/>
        <w:t>O acesso às informações e aos sistemas da AeroLog deve ser controlado conforme as necessidades de </w:t>
      </w:r>
      <w:r>
        <w:rPr/>
        <w:t>trabalho, os princípios de menor privilégio e necessidade de acesso e a criticidade dos recursos envolvidos,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Identificação</w:t>
      </w:r>
      <w:r>
        <w:rPr>
          <w:b/>
          <w:sz w:val="21"/>
        </w:rPr>
        <w:t> individual: </w:t>
      </w:r>
      <w:r>
        <w:rPr>
          <w:sz w:val="21"/>
        </w:rPr>
        <w:t>os acessos realizados por colaboradores, prestadores de serviço e </w:t>
      </w:r>
      <w:r>
        <w:rPr>
          <w:sz w:val="21"/>
        </w:rPr>
        <w:t>fornecedores devem permitir a identificação de cada usuário. As credenciais são pessoais e intransferíveis, sendo proibido compartilhar senhas ou utilizar as credenciais de outra pessoa.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Autorização:</w:t>
      </w:r>
      <w:r>
        <w:rPr>
          <w:b/>
          <w:spacing w:val="26"/>
          <w:sz w:val="21"/>
        </w:rPr>
        <w:t> </w:t>
      </w:r>
      <w:r>
        <w:rPr>
          <w:sz w:val="21"/>
        </w:rPr>
        <w:t>a concessão e a ampliação de acessos devem ser justificadas e aprovadas pelo responsável pela área ou pelo sistema. A equipe de TI deve verificar a compatibilidade da solicitação com esta política e executar a configuração das permissões autorizadas.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Limitação</w:t>
      </w:r>
      <w:r>
        <w:rPr>
          <w:b/>
          <w:spacing w:val="34"/>
          <w:sz w:val="21"/>
        </w:rPr>
        <w:t> </w:t>
      </w:r>
      <w:r>
        <w:rPr>
          <w:b/>
          <w:sz w:val="21"/>
        </w:rPr>
        <w:t>das permissões: </w:t>
      </w:r>
      <w:r>
        <w:rPr>
          <w:sz w:val="21"/>
        </w:rPr>
        <w:t>cada usuário deve receber somente os acessos necessários às suas atividades. O acesso a um sistema não autoriza, por si só, a consulta, alteração ou exclusão de todas as informações </w:t>
      </w:r>
      <w:r>
        <w:rPr>
          <w:sz w:val="21"/>
        </w:rPr>
        <w:t>nele </w:t>
      </w:r>
      <w:r>
        <w:rPr>
          <w:spacing w:val="-2"/>
          <w:sz w:val="21"/>
        </w:rPr>
        <w:t>disponíveis.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Alteração</w:t>
      </w:r>
      <w:r>
        <w:rPr>
          <w:b/>
          <w:sz w:val="21"/>
        </w:rPr>
        <w:t> e revogação: </w:t>
      </w:r>
      <w:r>
        <w:rPr>
          <w:sz w:val="21"/>
        </w:rPr>
        <w:t>as permissões devem ser reavaliadas quando houver mudança de função ou atividade.</w:t>
      </w:r>
      <w:r>
        <w:rPr>
          <w:spacing w:val="-4"/>
          <w:sz w:val="21"/>
        </w:rPr>
        <w:t> </w:t>
      </w:r>
      <w:r>
        <w:rPr>
          <w:sz w:val="21"/>
        </w:rPr>
        <w:t>Os</w:t>
      </w:r>
      <w:r>
        <w:rPr>
          <w:spacing w:val="-4"/>
          <w:sz w:val="21"/>
        </w:rPr>
        <w:t> </w:t>
      </w:r>
      <w:r>
        <w:rPr>
          <w:sz w:val="21"/>
        </w:rPr>
        <w:t>acessos</w:t>
      </w:r>
      <w:r>
        <w:rPr>
          <w:spacing w:val="-4"/>
          <w:sz w:val="21"/>
        </w:rPr>
        <w:t> </w:t>
      </w:r>
      <w:r>
        <w:rPr>
          <w:sz w:val="21"/>
        </w:rPr>
        <w:t>devem</w:t>
      </w:r>
      <w:r>
        <w:rPr>
          <w:spacing w:val="-4"/>
          <w:sz w:val="21"/>
        </w:rPr>
        <w:t> </w:t>
      </w:r>
      <w:r>
        <w:rPr>
          <w:sz w:val="21"/>
        </w:rPr>
        <w:t>ser</w:t>
      </w:r>
      <w:r>
        <w:rPr>
          <w:spacing w:val="-4"/>
          <w:sz w:val="21"/>
        </w:rPr>
        <w:t> </w:t>
      </w:r>
      <w:r>
        <w:rPr>
          <w:sz w:val="21"/>
        </w:rPr>
        <w:t>revogados</w:t>
      </w:r>
      <w:r>
        <w:rPr>
          <w:spacing w:val="-4"/>
          <w:sz w:val="21"/>
        </w:rPr>
        <w:t> </w:t>
      </w:r>
      <w:r>
        <w:rPr>
          <w:sz w:val="21"/>
        </w:rPr>
        <w:t>quando</w:t>
      </w:r>
      <w:r>
        <w:rPr>
          <w:spacing w:val="-4"/>
          <w:sz w:val="21"/>
        </w:rPr>
        <w:t> </w:t>
      </w:r>
      <w:r>
        <w:rPr>
          <w:sz w:val="21"/>
        </w:rPr>
        <w:t>cessar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necessidade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utilização</w:t>
      </w:r>
      <w:r>
        <w:rPr>
          <w:spacing w:val="-4"/>
          <w:sz w:val="21"/>
        </w:rPr>
        <w:t> </w:t>
      </w:r>
      <w:r>
        <w:rPr>
          <w:sz w:val="21"/>
        </w:rPr>
        <w:t>ou</w:t>
      </w:r>
      <w:r>
        <w:rPr>
          <w:spacing w:val="-4"/>
          <w:sz w:val="21"/>
        </w:rPr>
        <w:t> </w:t>
      </w:r>
      <w:r>
        <w:rPr>
          <w:sz w:val="21"/>
        </w:rPr>
        <w:t>no</w:t>
      </w:r>
      <w:r>
        <w:rPr>
          <w:spacing w:val="-4"/>
          <w:sz w:val="21"/>
        </w:rPr>
        <w:t> </w:t>
      </w:r>
      <w:r>
        <w:rPr>
          <w:sz w:val="21"/>
        </w:rPr>
        <w:t>encerramento</w:t>
      </w:r>
      <w:r>
        <w:rPr>
          <w:spacing w:val="-4"/>
          <w:sz w:val="21"/>
        </w:rPr>
        <w:t> </w:t>
      </w:r>
      <w:r>
        <w:rPr>
          <w:sz w:val="21"/>
        </w:rPr>
        <w:t>do vínculo ou serviço que os justificou. Os responsáveis pelas áreas e contratos devem comunicar essas mudanças à TI em tempo hábil para a execução das medidas.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4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Registro:</w:t>
      </w:r>
      <w:r>
        <w:rPr>
          <w:b/>
          <w:sz w:val="21"/>
        </w:rPr>
        <w:t> </w:t>
      </w:r>
      <w:r>
        <w:rPr>
          <w:sz w:val="21"/>
        </w:rPr>
        <w:t>as concessões, alterações e revogações devem ser registradas, identificando o usuário, </w:t>
      </w:r>
      <w:r>
        <w:rPr>
          <w:sz w:val="21"/>
        </w:rPr>
        <w:t>as permissões envolvidas, a justificativa, a autorização aplicável e a data de execução.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Contas</w:t>
      </w:r>
      <w:r>
        <w:rPr>
          <w:b/>
          <w:sz w:val="21"/>
        </w:rPr>
        <w:t> privilegiadas e autenticação adicional: </w:t>
      </w:r>
      <w:r>
        <w:rPr>
          <w:sz w:val="21"/>
        </w:rPr>
        <w:t>permissões de administração devem ser restritas </w:t>
      </w:r>
      <w:r>
        <w:rPr>
          <w:sz w:val="21"/>
        </w:rPr>
        <w:t>aos profissionais autorizados e utilizadas somente nas atividades que as exijam. Os acessos de usuários com privilégios administrativos e os acessos remotos devem utilizar autenticação multifator (MFA), combinando pelo menos dois fatores de autenticação distintos.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Revisão</w:t>
      </w:r>
      <w:r>
        <w:rPr>
          <w:b/>
          <w:spacing w:val="25"/>
          <w:sz w:val="21"/>
        </w:rPr>
        <w:t> </w:t>
      </w:r>
      <w:r>
        <w:rPr>
          <w:b/>
          <w:sz w:val="21"/>
        </w:rPr>
        <w:t>dos acessos: </w:t>
      </w:r>
      <w:r>
        <w:rPr>
          <w:sz w:val="21"/>
        </w:rPr>
        <w:t>o responsável pela área ou pelo sistema, com apoio da TI, deve revisar trimestralmente as permissões, verificando sua necessidade e solicitando a retirada dos acessos indevidos ou </w:t>
      </w:r>
      <w:r>
        <w:rPr>
          <w:sz w:val="21"/>
        </w:rPr>
        <w:t>desnecessários. Essa revisão periódica não substitui as alterações e revogações exigidas por mudanças de função, encerramento de vínculo ou término da necessidade de acesso.</w:t>
      </w:r>
    </w:p>
    <w:p>
      <w:pPr>
        <w:pStyle w:val="Heading4"/>
        <w:numPr>
          <w:ilvl w:val="1"/>
          <w:numId w:val="1"/>
        </w:numPr>
        <w:tabs>
          <w:tab w:pos="502" w:val="left" w:leader="none"/>
        </w:tabs>
        <w:spacing w:line="240" w:lineRule="auto" w:before="245" w:after="0"/>
        <w:ind w:left="502" w:right="0" w:hanging="361"/>
        <w:jc w:val="both"/>
      </w:pPr>
      <w:r>
        <w:rPr/>
        <w:t>Sistemas de reservas e dados de </w:t>
      </w:r>
      <w:r>
        <w:rPr>
          <w:spacing w:val="-2"/>
        </w:rPr>
        <w:t>passageiros</w:t>
      </w:r>
    </w:p>
    <w:p>
      <w:pPr>
        <w:pStyle w:val="BodyText"/>
        <w:spacing w:line="252" w:lineRule="auto" w:before="145"/>
        <w:ind w:left="141"/>
      </w:pPr>
      <w:r>
        <w:rPr/>
        <w:t>Os sistemas de reservas e os dados dos passageiros da AeroLog devem ser protegidos contra acessos não autorizados, fraudes, alterações indevidas, divulgação inadequada e indisponibilidade, observando as </w:t>
      </w:r>
      <w:r>
        <w:rPr/>
        <w:t>seguintes </w:t>
      </w:r>
      <w:r>
        <w:rPr>
          <w:spacing w:val="-2"/>
        </w:rPr>
        <w:t>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Controle</w:t>
      </w:r>
      <w:r>
        <w:rPr>
          <w:b/>
          <w:spacing w:val="34"/>
          <w:sz w:val="21"/>
        </w:rPr>
        <w:t> </w:t>
      </w:r>
      <w:r>
        <w:rPr>
          <w:b/>
          <w:sz w:val="21"/>
        </w:rPr>
        <w:t>de acesso: </w:t>
      </w:r>
      <w:r>
        <w:rPr>
          <w:sz w:val="21"/>
        </w:rPr>
        <w:t>o acesso aos sistemas de reservas e aos dados dos passageiros deve observar as regras da seção 4.1. As permissões de consulta, emissão, alteração e cancelamento devem ser limitadas às</w:t>
      </w:r>
      <w:r>
        <w:rPr>
          <w:spacing w:val="40"/>
          <w:sz w:val="21"/>
        </w:rPr>
        <w:t> </w:t>
      </w:r>
      <w:r>
        <w:rPr>
          <w:sz w:val="21"/>
        </w:rPr>
        <w:t>atividades autorizadas de cada usuário.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Prevenção</w:t>
      </w:r>
      <w:r>
        <w:rPr>
          <w:b/>
          <w:spacing w:val="35"/>
          <w:sz w:val="21"/>
        </w:rPr>
        <w:t> </w:t>
      </w:r>
      <w:r>
        <w:rPr>
          <w:b/>
          <w:sz w:val="21"/>
        </w:rPr>
        <w:t>e identificação de fraudes: </w:t>
      </w:r>
      <w:r>
        <w:rPr>
          <w:sz w:val="21"/>
        </w:rPr>
        <w:t>devem ser adotados mecanismos de monitoramento para </w:t>
      </w:r>
      <w:r>
        <w:rPr>
          <w:sz w:val="21"/>
        </w:rPr>
        <w:t>identificar atividades</w:t>
      </w:r>
      <w:r>
        <w:rPr>
          <w:spacing w:val="-5"/>
          <w:sz w:val="21"/>
        </w:rPr>
        <w:t> </w:t>
      </w:r>
      <w:r>
        <w:rPr>
          <w:sz w:val="21"/>
        </w:rPr>
        <w:t>suspeitas</w:t>
      </w:r>
      <w:r>
        <w:rPr>
          <w:spacing w:val="-5"/>
          <w:sz w:val="21"/>
        </w:rPr>
        <w:t> </w:t>
      </w:r>
      <w:r>
        <w:rPr>
          <w:sz w:val="21"/>
        </w:rPr>
        <w:t>nas</w:t>
      </w:r>
      <w:r>
        <w:rPr>
          <w:spacing w:val="-5"/>
          <w:sz w:val="21"/>
        </w:rPr>
        <w:t> </w:t>
      </w:r>
      <w:r>
        <w:rPr>
          <w:sz w:val="21"/>
        </w:rPr>
        <w:t>operações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reservas</w:t>
      </w:r>
      <w:r>
        <w:rPr>
          <w:spacing w:val="-5"/>
          <w:sz w:val="21"/>
        </w:rPr>
        <w:t> </w:t>
      </w:r>
      <w:r>
        <w:rPr>
          <w:sz w:val="21"/>
        </w:rPr>
        <w:t>e</w:t>
      </w:r>
      <w:r>
        <w:rPr>
          <w:spacing w:val="-5"/>
          <w:sz w:val="21"/>
        </w:rPr>
        <w:t> </w:t>
      </w:r>
      <w:r>
        <w:rPr>
          <w:sz w:val="21"/>
        </w:rPr>
        <w:t>emissão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passagens,</w:t>
      </w:r>
      <w:r>
        <w:rPr>
          <w:spacing w:val="-5"/>
          <w:sz w:val="21"/>
        </w:rPr>
        <w:t> </w:t>
      </w:r>
      <w:r>
        <w:rPr>
          <w:sz w:val="21"/>
        </w:rPr>
        <w:t>incluindo</w:t>
      </w:r>
      <w:r>
        <w:rPr>
          <w:spacing w:val="-5"/>
          <w:sz w:val="21"/>
        </w:rPr>
        <w:t> </w:t>
      </w:r>
      <w:r>
        <w:rPr>
          <w:sz w:val="21"/>
        </w:rPr>
        <w:t>aquelas</w:t>
      </w:r>
      <w:r>
        <w:rPr>
          <w:spacing w:val="-5"/>
          <w:sz w:val="21"/>
        </w:rPr>
        <w:t> </w:t>
      </w:r>
      <w:r>
        <w:rPr>
          <w:sz w:val="21"/>
        </w:rPr>
        <w:t>realizadas</w:t>
      </w:r>
      <w:r>
        <w:rPr>
          <w:spacing w:val="-5"/>
          <w:sz w:val="21"/>
        </w:rPr>
        <w:t> </w:t>
      </w:r>
      <w:r>
        <w:rPr>
          <w:sz w:val="21"/>
        </w:rPr>
        <w:t>por</w:t>
      </w:r>
      <w:r>
        <w:rPr>
          <w:spacing w:val="-5"/>
          <w:sz w:val="21"/>
        </w:rPr>
        <w:t> </w:t>
      </w:r>
      <w:r>
        <w:rPr>
          <w:sz w:val="21"/>
        </w:rPr>
        <w:t>meio de sistemas de distribuição global (GDS). As suspeitas identificadas devem ser encaminhadas à equipe de TI e ao responsável pela área ou pelo sistema para avaliação e adoção das medidas cabíveis.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11910" w:h="16840"/>
          <w:pgMar w:header="0" w:footer="334" w:top="1120" w:bottom="560" w:left="992" w:right="992"/>
        </w:sectPr>
      </w:pP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46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Registro</w:t>
      </w:r>
      <w:r>
        <w:rPr>
          <w:b/>
          <w:sz w:val="21"/>
        </w:rPr>
        <w:t> das operações: </w:t>
      </w:r>
      <w:r>
        <w:rPr>
          <w:sz w:val="21"/>
        </w:rPr>
        <w:t>as emissões, alterações e cancelamentos de passagens devem gerar registros </w:t>
      </w:r>
      <w:r>
        <w:rPr>
          <w:sz w:val="21"/>
        </w:rPr>
        <w:t>que permitam identificar o usuário responsável, a operação realizada e sua data e horário. Esses registros devem ser protegidos contra acesso não autorizado e alterações indevidas, permitindo a análise de ocorrências e a realização de auditorias.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Tratamento</w:t>
      </w:r>
      <w:r>
        <w:rPr>
          <w:b/>
          <w:spacing w:val="29"/>
          <w:sz w:val="21"/>
        </w:rPr>
        <w:t> </w:t>
      </w:r>
      <w:r>
        <w:rPr>
          <w:b/>
          <w:sz w:val="21"/>
        </w:rPr>
        <w:t>de dados pessoais: </w:t>
      </w:r>
      <w:r>
        <w:rPr>
          <w:sz w:val="21"/>
        </w:rPr>
        <w:t>a coleta, a consulta, o uso e o compartilhamento dos dados dos passageiros devem atender a finalidades legítimas, específicas e informadas, observadas as hipóteses legais aplicáveis. </w:t>
      </w:r>
      <w:r>
        <w:rPr>
          <w:sz w:val="21"/>
        </w:rPr>
        <w:t>O tratamento deve se limitar aos dados necessários para cada finalidade, respeitando os direitos dos titulares e os requisitos da Lei Geral de Proteção de Dados Pessoais (LGPD).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Criptografia:</w:t>
      </w:r>
      <w:r>
        <w:rPr>
          <w:b/>
          <w:sz w:val="21"/>
        </w:rPr>
        <w:t> </w:t>
      </w:r>
      <w:r>
        <w:rPr>
          <w:sz w:val="21"/>
        </w:rPr>
        <w:t>os dados pessoais dos passageiros em formato digital devem ser protegidos por criptografia durante sua transmissão e armazenamento. A equipe de TI deve assegurar a configuração adequada </w:t>
      </w:r>
      <w:r>
        <w:rPr>
          <w:sz w:val="21"/>
        </w:rPr>
        <w:t>desses mecanismos e a proteção das chaves criptográficas, restringindo seu acesso às pessoas e aos serviços </w:t>
      </w:r>
      <w:r>
        <w:rPr>
          <w:spacing w:val="-2"/>
          <w:sz w:val="21"/>
        </w:rPr>
        <w:t>autorizados.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4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Disponibilidade</w:t>
      </w:r>
      <w:r>
        <w:rPr>
          <w:b/>
          <w:spacing w:val="36"/>
          <w:sz w:val="21"/>
        </w:rPr>
        <w:t> </w:t>
      </w:r>
      <w:r>
        <w:rPr>
          <w:b/>
          <w:sz w:val="21"/>
        </w:rPr>
        <w:t>dos sistemas: </w:t>
      </w:r>
      <w:r>
        <w:rPr>
          <w:sz w:val="21"/>
        </w:rPr>
        <w:t>devem ser mantidos mecanismos de monitoramento da disponibilidade e </w:t>
      </w:r>
      <w:r>
        <w:rPr>
          <w:sz w:val="21"/>
        </w:rPr>
        <w:t>de identificação e mitigação de ataques de negação de serviço, incluindo ataques distribuídos (DDoS). A equipe de TI deve acompanhar sinais de tráfego anormal e indisponibilidade para avaliar e encaminhar as </w:t>
      </w:r>
      <w:r>
        <w:rPr>
          <w:spacing w:val="-2"/>
          <w:sz w:val="21"/>
        </w:rPr>
        <w:t>ocorrências.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Integração</w:t>
      </w:r>
      <w:r>
        <w:rPr>
          <w:b/>
          <w:sz w:val="21"/>
        </w:rPr>
        <w:t> com riscos e continuidade: </w:t>
      </w:r>
      <w:r>
        <w:rPr>
          <w:sz w:val="21"/>
        </w:rPr>
        <w:t>as medidas de proteção dos sistemas de reservas devem estar alinhadas</w:t>
      </w:r>
      <w:r>
        <w:rPr>
          <w:spacing w:val="-3"/>
          <w:sz w:val="21"/>
        </w:rPr>
        <w:t> </w:t>
      </w:r>
      <w:r>
        <w:rPr>
          <w:sz w:val="21"/>
        </w:rPr>
        <w:t>aos</w:t>
      </w:r>
      <w:r>
        <w:rPr>
          <w:spacing w:val="-3"/>
          <w:sz w:val="21"/>
        </w:rPr>
        <w:t> </w:t>
      </w:r>
      <w:r>
        <w:rPr>
          <w:sz w:val="21"/>
        </w:rPr>
        <w:t>tratamentos</w:t>
      </w:r>
      <w:r>
        <w:rPr>
          <w:spacing w:val="-3"/>
          <w:sz w:val="21"/>
        </w:rPr>
        <w:t> </w:t>
      </w:r>
      <w:r>
        <w:rPr>
          <w:sz w:val="21"/>
        </w:rPr>
        <w:t>definidos</w:t>
      </w:r>
      <w:r>
        <w:rPr>
          <w:spacing w:val="-3"/>
          <w:sz w:val="21"/>
        </w:rPr>
        <w:t> </w:t>
      </w:r>
      <w:r>
        <w:rPr>
          <w:sz w:val="21"/>
        </w:rPr>
        <w:t>na</w:t>
      </w:r>
      <w:r>
        <w:rPr>
          <w:spacing w:val="-3"/>
          <w:sz w:val="21"/>
        </w:rPr>
        <w:t> </w:t>
      </w:r>
      <w:r>
        <w:rPr>
          <w:sz w:val="21"/>
        </w:rPr>
        <w:t>PGR.</w:t>
      </w:r>
      <w:r>
        <w:rPr>
          <w:spacing w:val="-3"/>
          <w:sz w:val="21"/>
        </w:rPr>
        <w:t> </w:t>
      </w:r>
      <w:r>
        <w:rPr>
          <w:sz w:val="21"/>
        </w:rPr>
        <w:t>Quando</w:t>
      </w:r>
      <w:r>
        <w:rPr>
          <w:spacing w:val="-3"/>
          <w:sz w:val="21"/>
        </w:rPr>
        <w:t> </w:t>
      </w:r>
      <w:r>
        <w:rPr>
          <w:sz w:val="21"/>
        </w:rPr>
        <w:t>houver</w:t>
      </w:r>
      <w:r>
        <w:rPr>
          <w:spacing w:val="-3"/>
          <w:sz w:val="21"/>
        </w:rPr>
        <w:t> </w:t>
      </w:r>
      <w:r>
        <w:rPr>
          <w:sz w:val="21"/>
        </w:rPr>
        <w:t>interrupção</w:t>
      </w:r>
      <w:r>
        <w:rPr>
          <w:spacing w:val="-3"/>
          <w:sz w:val="21"/>
        </w:rPr>
        <w:t> </w:t>
      </w:r>
      <w:r>
        <w:rPr>
          <w:sz w:val="21"/>
        </w:rPr>
        <w:t>que</w:t>
      </w:r>
      <w:r>
        <w:rPr>
          <w:spacing w:val="-3"/>
          <w:sz w:val="21"/>
        </w:rPr>
        <w:t> </w:t>
      </w:r>
      <w:r>
        <w:rPr>
          <w:sz w:val="21"/>
        </w:rPr>
        <w:t>atenda</w:t>
      </w:r>
      <w:r>
        <w:rPr>
          <w:spacing w:val="-3"/>
          <w:sz w:val="21"/>
        </w:rPr>
        <w:t> </w:t>
      </w:r>
      <w:r>
        <w:rPr>
          <w:sz w:val="21"/>
        </w:rPr>
        <w:t>aos</w:t>
      </w:r>
      <w:r>
        <w:rPr>
          <w:spacing w:val="-3"/>
          <w:sz w:val="21"/>
        </w:rPr>
        <w:t> </w:t>
      </w:r>
      <w:r>
        <w:rPr>
          <w:sz w:val="21"/>
        </w:rPr>
        <w:t>critérios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ativação do PCN, devem ser seguidas as estratégias de continuidade e recuperação nele estabelecidas, em </w:t>
      </w:r>
      <w:r>
        <w:rPr>
          <w:sz w:val="21"/>
        </w:rPr>
        <w:t>conjunto com as diretrizes de backup e tratamento de incidentes desta política.</w:t>
      </w:r>
    </w:p>
    <w:p>
      <w:pPr>
        <w:pStyle w:val="Heading4"/>
        <w:numPr>
          <w:ilvl w:val="1"/>
          <w:numId w:val="1"/>
        </w:numPr>
        <w:tabs>
          <w:tab w:pos="502" w:val="left" w:leader="none"/>
        </w:tabs>
        <w:spacing w:line="240" w:lineRule="auto" w:before="245" w:after="0"/>
        <w:ind w:left="502" w:right="0" w:hanging="361"/>
        <w:jc w:val="both"/>
      </w:pPr>
      <w:r>
        <w:rPr/>
        <w:t>Sistemas críticos e </w:t>
      </w:r>
      <w:r>
        <w:rPr>
          <w:spacing w:val="-2"/>
        </w:rPr>
        <w:t>embarcados</w:t>
      </w:r>
    </w:p>
    <w:p>
      <w:pPr>
        <w:pStyle w:val="BodyText"/>
        <w:spacing w:line="252" w:lineRule="auto" w:before="146"/>
        <w:ind w:left="141"/>
      </w:pPr>
      <w:r>
        <w:rPr/>
        <w:t>Os</w:t>
      </w:r>
      <w:r>
        <w:rPr>
          <w:spacing w:val="-3"/>
        </w:rPr>
        <w:t> </w:t>
      </w:r>
      <w:r>
        <w:rPr/>
        <w:t>sistemas</w:t>
      </w:r>
      <w:r>
        <w:rPr>
          <w:spacing w:val="-3"/>
        </w:rPr>
        <w:t> </w:t>
      </w:r>
      <w:r>
        <w:rPr/>
        <w:t>críticos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embarcados</w:t>
      </w:r>
      <w:r>
        <w:rPr>
          <w:spacing w:val="-3"/>
        </w:rPr>
        <w:t> </w:t>
      </w:r>
      <w:r>
        <w:rPr/>
        <w:t>nas</w:t>
      </w:r>
      <w:r>
        <w:rPr>
          <w:spacing w:val="-3"/>
        </w:rPr>
        <w:t> </w:t>
      </w:r>
      <w:r>
        <w:rPr/>
        <w:t>aeronaves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AeroLog</w:t>
      </w:r>
      <w:r>
        <w:rPr>
          <w:spacing w:val="-3"/>
        </w:rPr>
        <w:t> </w:t>
      </w:r>
      <w:r>
        <w:rPr/>
        <w:t>Transportes</w:t>
      </w:r>
      <w:r>
        <w:rPr>
          <w:spacing w:val="-3"/>
        </w:rPr>
        <w:t> </w:t>
      </w:r>
      <w:r>
        <w:rPr/>
        <w:t>Aéreos,</w:t>
      </w:r>
      <w:r>
        <w:rPr>
          <w:spacing w:val="-3"/>
        </w:rPr>
        <w:t> </w:t>
      </w:r>
      <w:r>
        <w:rPr/>
        <w:t>especialmente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softwares</w:t>
      </w:r>
      <w:r>
        <w:rPr>
          <w:spacing w:val="-3"/>
        </w:rPr>
        <w:t> </w:t>
      </w:r>
      <w:r>
        <w:rPr/>
        <w:t>de navegação e os sistemas relacionados às operações aéreas, devem ser protegidos contra acessos </w:t>
      </w:r>
      <w:r>
        <w:rPr/>
        <w:t>não autorizados, alterações indevidas e ameaças cibernéticas que possam comprometer sua integridade e a segurança operacional,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Controle</w:t>
      </w:r>
      <w:r>
        <w:rPr>
          <w:b/>
          <w:sz w:val="21"/>
        </w:rPr>
        <w:t> de acesso: </w:t>
      </w:r>
      <w:r>
        <w:rPr>
          <w:sz w:val="21"/>
        </w:rPr>
        <w:t>o acesso aos sistemas críticos e embarcados deve ser restrito aos </w:t>
      </w:r>
      <w:r>
        <w:rPr>
          <w:sz w:val="21"/>
        </w:rPr>
        <w:t>profissionais autorizados, conforme suas responsabilidades e necessidades de trabalho, seguindo as regras estabelecidas na seção 4.1 desta política.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Autorização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de alterações: </w:t>
      </w:r>
      <w:r>
        <w:rPr>
          <w:sz w:val="21"/>
        </w:rPr>
        <w:t>as instalações, atualizações e modificações nos sistemas devem ser previamente avaliadas e autorizadas pelas equipes técnicas responsáveis, considerando os possíveis impactos sobre </w:t>
      </w:r>
      <w:r>
        <w:rPr>
          <w:sz w:val="21"/>
        </w:rPr>
        <w:t>o funcionamento dos equipamentos e a segurança das operações aéreas.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Registro</w:t>
      </w:r>
      <w:r>
        <w:rPr>
          <w:b/>
          <w:sz w:val="21"/>
        </w:rPr>
        <w:t> das intervenções: </w:t>
      </w:r>
      <w:r>
        <w:rPr>
          <w:sz w:val="21"/>
        </w:rPr>
        <w:t>as atividades de manutenção e alteração devem ser registradas, permitindo identificar o profissional responsável, a intervenção realizada e a data de execução, garantindo </w:t>
      </w:r>
      <w:r>
        <w:rPr>
          <w:sz w:val="21"/>
        </w:rPr>
        <w:t>a rastreabilidade das operações.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Proteção</w:t>
      </w:r>
      <w:r>
        <w:rPr>
          <w:b/>
          <w:spacing w:val="37"/>
          <w:sz w:val="21"/>
        </w:rPr>
        <w:t> </w:t>
      </w:r>
      <w:r>
        <w:rPr>
          <w:b/>
          <w:sz w:val="21"/>
        </w:rPr>
        <w:t>da integridade: </w:t>
      </w:r>
      <w:r>
        <w:rPr>
          <w:sz w:val="21"/>
        </w:rPr>
        <w:t>devem ser adotados mecanismos para verificar a integridade dos softwares e </w:t>
      </w:r>
      <w:r>
        <w:rPr>
          <w:sz w:val="21"/>
        </w:rPr>
        <w:t>das configurações, prevenindo modificações não autorizadas e identificando possíveis comprometimentos.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Segregação</w:t>
      </w:r>
      <w:r>
        <w:rPr>
          <w:b/>
          <w:sz w:val="21"/>
        </w:rPr>
        <w:t> dos sistemas: </w:t>
      </w:r>
      <w:r>
        <w:rPr>
          <w:sz w:val="21"/>
        </w:rPr>
        <w:t>os sistemas críticos devem ser protegidos e segregados dos </w:t>
      </w:r>
      <w:r>
        <w:rPr>
          <w:sz w:val="21"/>
        </w:rPr>
        <w:t>ambientes administrativos e de outras redes, quando tecnicamente aplicável, reduzindo os riscos de acessos indevidos e propagação de ameaças.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Avaliação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de atualizações: </w:t>
      </w:r>
      <w:r>
        <w:rPr>
          <w:sz w:val="21"/>
        </w:rPr>
        <w:t>as atualizações e correções de segurança devem passar por avaliação técnica antes de sua aplicação, considerando a compatibilidade com os equipamentos e as orientações dos fabricantes e fornecedores autorizados.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Segurança</w:t>
      </w:r>
      <w:r>
        <w:rPr>
          <w:b/>
          <w:sz w:val="21"/>
        </w:rPr>
        <w:t> aeronáutica: </w:t>
      </w:r>
      <w:r>
        <w:rPr>
          <w:sz w:val="21"/>
        </w:rPr>
        <w:t>as medidas de proteção dos sistemas embarcados devem considerar os requisitos aeronáuticos aplicáveis e as orientações de segurança de aeronavegabilidade cibernética, incluindo a referência RTCA DO-326A, quando pertinente e confirmada sua aplicabilidade.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11910" w:h="16840"/>
          <w:pgMar w:header="0" w:footer="334" w:top="1080" w:bottom="560" w:left="992" w:right="992"/>
        </w:sectPr>
      </w:pP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46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Integração</w:t>
      </w:r>
      <w:r>
        <w:rPr>
          <w:b/>
          <w:spacing w:val="33"/>
          <w:sz w:val="21"/>
        </w:rPr>
        <w:t> </w:t>
      </w:r>
      <w:r>
        <w:rPr>
          <w:b/>
          <w:sz w:val="21"/>
        </w:rPr>
        <w:t>com riscos e continuidade: </w:t>
      </w:r>
      <w:r>
        <w:rPr>
          <w:sz w:val="21"/>
        </w:rPr>
        <w:t>os riscos relacionados aos sistemas críticos e embarcados devem ser considerados na Política de Gestão de Riscos (PGR), especialmente aqueles relacionados </w:t>
      </w:r>
      <w:r>
        <w:rPr>
          <w:sz w:val="21"/>
        </w:rPr>
        <w:t>ao comprometimento por fornecedores externos (R03) e aos sistemas embarcados (R05). Em situações de comprometimento, as medidas de restrição de acesso, isolamento e retomada devem seguir os procedimentos autorizados e as estratégias estabelecidas no Plano de Continuidade de Negócios (PCN), com participação das equipes técnicas e operacionais competentes.</w:t>
      </w:r>
    </w:p>
    <w:p>
      <w:pPr>
        <w:pStyle w:val="Heading4"/>
        <w:numPr>
          <w:ilvl w:val="1"/>
          <w:numId w:val="1"/>
        </w:numPr>
        <w:tabs>
          <w:tab w:pos="502" w:val="left" w:leader="none"/>
        </w:tabs>
        <w:spacing w:line="240" w:lineRule="auto" w:before="246" w:after="0"/>
        <w:ind w:left="502" w:right="0" w:hanging="361"/>
        <w:jc w:val="both"/>
      </w:pPr>
      <w:r>
        <w:rPr/>
        <w:t>Fornecedores e acesso </w:t>
      </w:r>
      <w:r>
        <w:rPr>
          <w:spacing w:val="-2"/>
        </w:rPr>
        <w:t>remoto</w:t>
      </w:r>
    </w:p>
    <w:p>
      <w:pPr>
        <w:pStyle w:val="BodyText"/>
        <w:spacing w:line="252" w:lineRule="auto" w:before="146"/>
        <w:ind w:left="141"/>
      </w:pPr>
      <w:r>
        <w:rPr/>
        <w:t>Os contratos de suporte e os acessos remotos de fornecedores aos sistemas da AeroLog, especialmente aqueles relacionados ao software de navegação e aos sistemas críticos, devem observar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Requisitos</w:t>
      </w:r>
      <w:r>
        <w:rPr>
          <w:b/>
          <w:spacing w:val="37"/>
          <w:sz w:val="21"/>
        </w:rPr>
        <w:t> </w:t>
      </w:r>
      <w:r>
        <w:rPr>
          <w:b/>
          <w:sz w:val="21"/>
        </w:rPr>
        <w:t>contratuais: </w:t>
      </w:r>
      <w:r>
        <w:rPr>
          <w:sz w:val="21"/>
        </w:rPr>
        <w:t>os contratos devem estabelecer o escopo dos serviços, os sistemas abrangidos e as obrigações de segurança dos fornecedores, incluindo confidencialidade, proteção das credenciais, cumprimento desta política e comunicação de incidentes.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Autorização</w:t>
      </w:r>
      <w:r>
        <w:rPr>
          <w:b/>
          <w:spacing w:val="20"/>
          <w:sz w:val="21"/>
        </w:rPr>
        <w:t> </w:t>
      </w:r>
      <w:r>
        <w:rPr>
          <w:b/>
          <w:sz w:val="21"/>
        </w:rPr>
        <w:t>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identificação:</w:t>
      </w:r>
      <w:r>
        <w:rPr>
          <w:b/>
          <w:spacing w:val="-4"/>
          <w:sz w:val="21"/>
        </w:rPr>
        <w:t> </w:t>
      </w:r>
      <w:r>
        <w:rPr>
          <w:sz w:val="21"/>
        </w:rPr>
        <w:t>os</w:t>
      </w:r>
      <w:r>
        <w:rPr>
          <w:spacing w:val="-4"/>
          <w:sz w:val="21"/>
        </w:rPr>
        <w:t> </w:t>
      </w:r>
      <w:r>
        <w:rPr>
          <w:sz w:val="21"/>
        </w:rPr>
        <w:t>acessos</w:t>
      </w:r>
      <w:r>
        <w:rPr>
          <w:spacing w:val="-4"/>
          <w:sz w:val="21"/>
        </w:rPr>
        <w:t> </w:t>
      </w:r>
      <w:r>
        <w:rPr>
          <w:sz w:val="21"/>
        </w:rPr>
        <w:t>devem</w:t>
      </w:r>
      <w:r>
        <w:rPr>
          <w:spacing w:val="-4"/>
          <w:sz w:val="21"/>
        </w:rPr>
        <w:t> </w:t>
      </w:r>
      <w:r>
        <w:rPr>
          <w:sz w:val="21"/>
        </w:rPr>
        <w:t>seguir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4"/>
          <w:sz w:val="21"/>
        </w:rPr>
        <w:t> </w:t>
      </w:r>
      <w:r>
        <w:rPr>
          <w:sz w:val="21"/>
        </w:rPr>
        <w:t>regras</w:t>
      </w:r>
      <w:r>
        <w:rPr>
          <w:spacing w:val="-4"/>
          <w:sz w:val="21"/>
        </w:rPr>
        <w:t> </w:t>
      </w:r>
      <w:r>
        <w:rPr>
          <w:sz w:val="21"/>
        </w:rPr>
        <w:t>da</w:t>
      </w:r>
      <w:r>
        <w:rPr>
          <w:spacing w:val="-4"/>
          <w:sz w:val="21"/>
        </w:rPr>
        <w:t> </w:t>
      </w:r>
      <w:r>
        <w:rPr>
          <w:sz w:val="21"/>
        </w:rPr>
        <w:t>seção</w:t>
      </w:r>
      <w:r>
        <w:rPr>
          <w:spacing w:val="-4"/>
          <w:sz w:val="21"/>
        </w:rPr>
        <w:t> </w:t>
      </w:r>
      <w:r>
        <w:rPr>
          <w:sz w:val="21"/>
        </w:rPr>
        <w:t>4.1,</w:t>
      </w:r>
      <w:r>
        <w:rPr>
          <w:spacing w:val="-4"/>
          <w:sz w:val="21"/>
        </w:rPr>
        <w:t> </w:t>
      </w:r>
      <w:r>
        <w:rPr>
          <w:sz w:val="21"/>
        </w:rPr>
        <w:t>com</w:t>
      </w:r>
      <w:r>
        <w:rPr>
          <w:spacing w:val="-4"/>
          <w:sz w:val="21"/>
        </w:rPr>
        <w:t> </w:t>
      </w:r>
      <w:r>
        <w:rPr>
          <w:sz w:val="21"/>
        </w:rPr>
        <w:t>aprovação</w:t>
      </w:r>
      <w:r>
        <w:rPr>
          <w:spacing w:val="-4"/>
          <w:sz w:val="21"/>
        </w:rPr>
        <w:t> </w:t>
      </w:r>
      <w:r>
        <w:rPr>
          <w:sz w:val="21"/>
        </w:rPr>
        <w:t>pelo</w:t>
      </w:r>
      <w:r>
        <w:rPr>
          <w:spacing w:val="-4"/>
          <w:sz w:val="21"/>
        </w:rPr>
        <w:t> </w:t>
      </w:r>
      <w:r>
        <w:rPr>
          <w:sz w:val="21"/>
        </w:rPr>
        <w:t>responsável pela área ou pelo sistema e verificação e execução pela equipe de TI. Cada profissional do fornecedor deve possuir identificação individual e permissões compatíveis com suas atividades autorizadas.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Vigência</w:t>
      </w:r>
      <w:r>
        <w:rPr>
          <w:b/>
          <w:spacing w:val="25"/>
          <w:sz w:val="21"/>
        </w:rPr>
        <w:t> </w:t>
      </w:r>
      <w:r>
        <w:rPr>
          <w:b/>
          <w:sz w:val="21"/>
        </w:rPr>
        <w:t>dos acessos: </w:t>
      </w:r>
      <w:r>
        <w:rPr>
          <w:sz w:val="21"/>
        </w:rPr>
        <w:t>os acessos poderão permanecer habilitados durante a vigência do contrato, desde </w:t>
      </w:r>
      <w:r>
        <w:rPr>
          <w:sz w:val="21"/>
        </w:rPr>
        <w:t>que exista necessidade de suporte e sejam mantidas as condições de segurança estabelecidas. Seu uso deve ficar restrito às atividades e aos sistemas autorizados no escopo contratado.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Autenticação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e proteção das credenciais: </w:t>
      </w:r>
      <w:r>
        <w:rPr>
          <w:sz w:val="21"/>
        </w:rPr>
        <w:t>os acessos remotos devem utilizar autenticação multifator </w:t>
      </w:r>
      <w:r>
        <w:rPr>
          <w:sz w:val="21"/>
        </w:rPr>
        <w:t>(MFA). Os fornecedores devem proteger suas credenciais e comunicar à AeroLog qualquer suspeita de exposição ou utilização indevida.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Registro</w:t>
      </w:r>
      <w:r>
        <w:rPr>
          <w:b/>
          <w:sz w:val="21"/>
        </w:rPr>
        <w:t> e acompanhamento: </w:t>
      </w:r>
      <w:r>
        <w:rPr>
          <w:sz w:val="21"/>
        </w:rPr>
        <w:t>as conexões remotas e as intervenções realizadas devem ser registradas, permitindo</w:t>
      </w:r>
      <w:r>
        <w:rPr>
          <w:spacing w:val="-1"/>
          <w:sz w:val="21"/>
        </w:rPr>
        <w:t> </w:t>
      </w:r>
      <w:r>
        <w:rPr>
          <w:sz w:val="21"/>
        </w:rPr>
        <w:t>identificar</w:t>
      </w:r>
      <w:r>
        <w:rPr>
          <w:spacing w:val="-1"/>
          <w:sz w:val="21"/>
        </w:rPr>
        <w:t> </w:t>
      </w:r>
      <w:r>
        <w:rPr>
          <w:sz w:val="21"/>
        </w:rPr>
        <w:t>o</w:t>
      </w:r>
      <w:r>
        <w:rPr>
          <w:spacing w:val="-1"/>
          <w:sz w:val="21"/>
        </w:rPr>
        <w:t> </w:t>
      </w:r>
      <w:r>
        <w:rPr>
          <w:sz w:val="21"/>
        </w:rPr>
        <w:t>profissional,</w:t>
      </w:r>
      <w:r>
        <w:rPr>
          <w:spacing w:val="-1"/>
          <w:sz w:val="21"/>
        </w:rPr>
        <w:t> </w:t>
      </w:r>
      <w:r>
        <w:rPr>
          <w:sz w:val="21"/>
        </w:rPr>
        <w:t>os</w:t>
      </w:r>
      <w:r>
        <w:rPr>
          <w:spacing w:val="-1"/>
          <w:sz w:val="21"/>
        </w:rPr>
        <w:t> </w:t>
      </w:r>
      <w:r>
        <w:rPr>
          <w:sz w:val="21"/>
        </w:rPr>
        <w:t>sistemas</w:t>
      </w:r>
      <w:r>
        <w:rPr>
          <w:spacing w:val="-1"/>
          <w:sz w:val="21"/>
        </w:rPr>
        <w:t> </w:t>
      </w:r>
      <w:r>
        <w:rPr>
          <w:sz w:val="21"/>
        </w:rPr>
        <w:t>acessados,</w:t>
      </w:r>
      <w:r>
        <w:rPr>
          <w:spacing w:val="-1"/>
          <w:sz w:val="21"/>
        </w:rPr>
        <w:t> </w:t>
      </w:r>
      <w:r>
        <w:rPr>
          <w:sz w:val="21"/>
        </w:rPr>
        <w:t>os</w:t>
      </w:r>
      <w:r>
        <w:rPr>
          <w:spacing w:val="-1"/>
          <w:sz w:val="21"/>
        </w:rPr>
        <w:t> </w:t>
      </w:r>
      <w:r>
        <w:rPr>
          <w:sz w:val="21"/>
        </w:rPr>
        <w:t>horários</w:t>
      </w:r>
      <w:r>
        <w:rPr>
          <w:spacing w:val="-1"/>
          <w:sz w:val="21"/>
        </w:rPr>
        <w:t> </w:t>
      </w:r>
      <w:r>
        <w:rPr>
          <w:sz w:val="21"/>
        </w:rPr>
        <w:t>e</w:t>
      </w:r>
      <w:r>
        <w:rPr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ações</w:t>
      </w:r>
      <w:r>
        <w:rPr>
          <w:spacing w:val="-1"/>
          <w:sz w:val="21"/>
        </w:rPr>
        <w:t> </w:t>
      </w:r>
      <w:r>
        <w:rPr>
          <w:sz w:val="21"/>
        </w:rPr>
        <w:t>executadas.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equipe</w:t>
      </w:r>
      <w:r>
        <w:rPr>
          <w:spacing w:val="-1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z w:val="21"/>
        </w:rPr>
        <w:t>TI deve acompanhar esses registros para identificar atividades incompatíveis com as autorizações concedidas.</w:t>
      </w:r>
      <w:r>
        <w:rPr>
          <w:spacing w:val="40"/>
          <w:sz w:val="21"/>
        </w:rPr>
        <w:t> </w:t>
      </w:r>
      <w:r>
        <w:rPr>
          <w:sz w:val="21"/>
        </w:rPr>
        <w:t>As intervenções em sistemas críticos devem observar também as diretrizes da seção 4.3.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Revisão</w:t>
      </w:r>
      <w:r>
        <w:rPr>
          <w:b/>
          <w:spacing w:val="29"/>
          <w:sz w:val="21"/>
        </w:rPr>
        <w:t> </w:t>
      </w:r>
      <w:r>
        <w:rPr>
          <w:b/>
          <w:sz w:val="21"/>
        </w:rPr>
        <w:t>e encerramento: </w:t>
      </w:r>
      <w:r>
        <w:rPr>
          <w:sz w:val="21"/>
        </w:rPr>
        <w:t>as permissões devem ser revisadas trimestralmente pelo responsável pela área ou pelo sistema, com apoio da TI. O fornecedor deve informar mudanças nos profissionais que utilizam </w:t>
      </w:r>
      <w:r>
        <w:rPr>
          <w:sz w:val="21"/>
        </w:rPr>
        <w:t>os acessos. As permissões devem ser ajustadas ou revogadas quando houver substituição desses profissionais, alteração do escopo, término do contrato ou encerramento da necessidade de acesso.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Incidentes</w:t>
      </w:r>
      <w:r>
        <w:rPr>
          <w:b/>
          <w:sz w:val="21"/>
        </w:rPr>
        <w:t> e suspensão: </w:t>
      </w:r>
      <w:r>
        <w:rPr>
          <w:sz w:val="21"/>
        </w:rPr>
        <w:t>os fornecedores devem comunicar à equipe de TI da AeroLog, assim </w:t>
      </w:r>
      <w:r>
        <w:rPr>
          <w:sz w:val="21"/>
        </w:rPr>
        <w:t>que identificados,</w:t>
      </w:r>
      <w:r>
        <w:rPr>
          <w:spacing w:val="-4"/>
          <w:sz w:val="21"/>
        </w:rPr>
        <w:t> </w:t>
      </w:r>
      <w:r>
        <w:rPr>
          <w:sz w:val="21"/>
        </w:rPr>
        <w:t>incidentes</w:t>
      </w:r>
      <w:r>
        <w:rPr>
          <w:spacing w:val="-4"/>
          <w:sz w:val="21"/>
        </w:rPr>
        <w:t> </w:t>
      </w:r>
      <w:r>
        <w:rPr>
          <w:sz w:val="21"/>
        </w:rPr>
        <w:t>ou</w:t>
      </w:r>
      <w:r>
        <w:rPr>
          <w:spacing w:val="-4"/>
          <w:sz w:val="21"/>
        </w:rPr>
        <w:t> </w:t>
      </w:r>
      <w:r>
        <w:rPr>
          <w:sz w:val="21"/>
        </w:rPr>
        <w:t>suspeitas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comprometimento</w:t>
      </w:r>
      <w:r>
        <w:rPr>
          <w:spacing w:val="-4"/>
          <w:sz w:val="21"/>
        </w:rPr>
        <w:t> </w:t>
      </w:r>
      <w:r>
        <w:rPr>
          <w:sz w:val="21"/>
        </w:rPr>
        <w:t>que</w:t>
      </w:r>
      <w:r>
        <w:rPr>
          <w:spacing w:val="-4"/>
          <w:sz w:val="21"/>
        </w:rPr>
        <w:t> </w:t>
      </w:r>
      <w:r>
        <w:rPr>
          <w:sz w:val="21"/>
        </w:rPr>
        <w:t>possam</w:t>
      </w:r>
      <w:r>
        <w:rPr>
          <w:spacing w:val="-4"/>
          <w:sz w:val="21"/>
        </w:rPr>
        <w:t> </w:t>
      </w:r>
      <w:r>
        <w:rPr>
          <w:sz w:val="21"/>
        </w:rPr>
        <w:t>afetar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4"/>
          <w:sz w:val="21"/>
        </w:rPr>
        <w:t> </w:t>
      </w:r>
      <w:r>
        <w:rPr>
          <w:sz w:val="21"/>
        </w:rPr>
        <w:t>informações</w:t>
      </w:r>
      <w:r>
        <w:rPr>
          <w:spacing w:val="-4"/>
          <w:sz w:val="21"/>
        </w:rPr>
        <w:t> </w:t>
      </w:r>
      <w:r>
        <w:rPr>
          <w:sz w:val="21"/>
        </w:rPr>
        <w:t>ou</w:t>
      </w:r>
      <w:r>
        <w:rPr>
          <w:spacing w:val="-4"/>
          <w:sz w:val="21"/>
        </w:rPr>
        <w:t> </w:t>
      </w:r>
      <w:r>
        <w:rPr>
          <w:sz w:val="21"/>
        </w:rPr>
        <w:t>os</w:t>
      </w:r>
      <w:r>
        <w:rPr>
          <w:spacing w:val="-4"/>
          <w:sz w:val="21"/>
        </w:rPr>
        <w:t> </w:t>
      </w:r>
      <w:r>
        <w:rPr>
          <w:sz w:val="21"/>
        </w:rPr>
        <w:t>sistemas da empresa. A TI deve avaliar a necessidade de suspensão dos acessos envolvidos, em articulação com o responsável pela área ou pelo sistema, considerando a proteção das informações e a segurança das operações. O tratamento deve seguir as diretrizes de incidentes e, quando aplicável, o PCN.</w:t>
      </w:r>
    </w:p>
    <w:p>
      <w:pPr>
        <w:pStyle w:val="Heading4"/>
        <w:numPr>
          <w:ilvl w:val="1"/>
          <w:numId w:val="1"/>
        </w:numPr>
        <w:tabs>
          <w:tab w:pos="502" w:val="left" w:leader="none"/>
        </w:tabs>
        <w:spacing w:line="240" w:lineRule="auto" w:before="246" w:after="0"/>
        <w:ind w:left="502" w:right="0" w:hanging="361"/>
        <w:jc w:val="both"/>
      </w:pPr>
      <w:r>
        <w:rPr/>
        <w:t>Vulnerabilidades e </w:t>
      </w:r>
      <w:r>
        <w:rPr>
          <w:spacing w:val="-2"/>
        </w:rPr>
        <w:t>atualizações</w:t>
      </w:r>
    </w:p>
    <w:p>
      <w:pPr>
        <w:pStyle w:val="BodyText"/>
        <w:spacing w:line="252" w:lineRule="auto" w:before="145"/>
        <w:ind w:left="141"/>
      </w:pPr>
      <w:r>
        <w:rPr/>
        <w:t>Os sistemas e equipamentos utilizados pela AeroLog devem ser avaliados periodicamente para identificar vulnerabilidades que possam comprometer a segurança das informações e a continuidade das operações. As atualizações e correções devem ser realizadas de forma controlada, considerando a criticidade dos sistemas e </w:t>
      </w:r>
      <w:r>
        <w:rPr/>
        <w:t>os riscos envolvidos,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4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Identificação</w:t>
      </w:r>
      <w:r>
        <w:rPr>
          <w:b/>
          <w:spacing w:val="24"/>
          <w:sz w:val="21"/>
        </w:rPr>
        <w:t> </w:t>
      </w:r>
      <w:r>
        <w:rPr>
          <w:b/>
          <w:sz w:val="21"/>
        </w:rPr>
        <w:t>de vulnerabilidades: </w:t>
      </w:r>
      <w:r>
        <w:rPr>
          <w:sz w:val="21"/>
        </w:rPr>
        <w:t>a equipe de TI deve realizar avaliações periódicas dos sistemas, servidores e equipamentos para identificar falhas de segurança, softwares desatualizados e possíveis pontos de </w:t>
      </w:r>
      <w:r>
        <w:rPr>
          <w:sz w:val="21"/>
        </w:rPr>
        <w:t>acesso </w:t>
      </w:r>
      <w:r>
        <w:rPr>
          <w:spacing w:val="-2"/>
          <w:sz w:val="21"/>
        </w:rPr>
        <w:t>indevido.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Priorização</w:t>
      </w:r>
      <w:r>
        <w:rPr>
          <w:b/>
          <w:spacing w:val="20"/>
          <w:sz w:val="21"/>
        </w:rPr>
        <w:t> </w:t>
      </w:r>
      <w:r>
        <w:rPr>
          <w:b/>
          <w:sz w:val="21"/>
        </w:rPr>
        <w:t>das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correções:</w:t>
      </w:r>
      <w:r>
        <w:rPr>
          <w:b/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4"/>
          <w:sz w:val="21"/>
        </w:rPr>
        <w:t> </w:t>
      </w:r>
      <w:r>
        <w:rPr>
          <w:sz w:val="21"/>
        </w:rPr>
        <w:t>vulnerabilidades</w:t>
      </w:r>
      <w:r>
        <w:rPr>
          <w:spacing w:val="-4"/>
          <w:sz w:val="21"/>
        </w:rPr>
        <w:t> </w:t>
      </w:r>
      <w:r>
        <w:rPr>
          <w:sz w:val="21"/>
        </w:rPr>
        <w:t>identificadas</w:t>
      </w:r>
      <w:r>
        <w:rPr>
          <w:spacing w:val="-4"/>
          <w:sz w:val="21"/>
        </w:rPr>
        <w:t> </w:t>
      </w:r>
      <w:r>
        <w:rPr>
          <w:sz w:val="21"/>
        </w:rPr>
        <w:t>devem</w:t>
      </w:r>
      <w:r>
        <w:rPr>
          <w:spacing w:val="-4"/>
          <w:sz w:val="21"/>
        </w:rPr>
        <w:t> </w:t>
      </w:r>
      <w:r>
        <w:rPr>
          <w:sz w:val="21"/>
        </w:rPr>
        <w:t>ser</w:t>
      </w:r>
      <w:r>
        <w:rPr>
          <w:spacing w:val="-4"/>
          <w:sz w:val="21"/>
        </w:rPr>
        <w:t> </w:t>
      </w:r>
      <w:r>
        <w:rPr>
          <w:sz w:val="21"/>
        </w:rPr>
        <w:t>avaliadas</w:t>
      </w:r>
      <w:r>
        <w:rPr>
          <w:spacing w:val="-4"/>
          <w:sz w:val="21"/>
        </w:rPr>
        <w:t> </w:t>
      </w:r>
      <w:r>
        <w:rPr>
          <w:sz w:val="21"/>
        </w:rPr>
        <w:t>conforme</w:t>
      </w:r>
      <w:r>
        <w:rPr>
          <w:spacing w:val="-4"/>
          <w:sz w:val="21"/>
        </w:rPr>
        <w:t> </w:t>
      </w:r>
      <w:r>
        <w:rPr>
          <w:sz w:val="21"/>
        </w:rPr>
        <w:t>sua</w:t>
      </w:r>
      <w:r>
        <w:rPr>
          <w:spacing w:val="-4"/>
          <w:sz w:val="21"/>
        </w:rPr>
        <w:t> </w:t>
      </w:r>
      <w:r>
        <w:rPr>
          <w:sz w:val="21"/>
        </w:rPr>
        <w:t>gravidade</w:t>
      </w:r>
      <w:r>
        <w:rPr>
          <w:spacing w:val="-4"/>
          <w:sz w:val="21"/>
        </w:rPr>
        <w:t> </w:t>
      </w:r>
      <w:r>
        <w:rPr>
          <w:sz w:val="21"/>
        </w:rPr>
        <w:t>e</w:t>
      </w:r>
      <w:r>
        <w:rPr>
          <w:spacing w:val="-4"/>
          <w:sz w:val="21"/>
        </w:rPr>
        <w:t> </w:t>
      </w:r>
      <w:r>
        <w:rPr>
          <w:sz w:val="21"/>
        </w:rPr>
        <w:t>os possíveis impactos nas operações, priorizando aquelas que afetem os sistemas de reservas, os sistemas legados de controle de voo e os sistemas críticos embarcados.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11910" w:h="16840"/>
          <w:pgMar w:header="0" w:footer="334" w:top="1080" w:bottom="560" w:left="992" w:right="992"/>
        </w:sectPr>
      </w:pP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46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Atualizações</w:t>
      </w:r>
      <w:r>
        <w:rPr>
          <w:b/>
          <w:sz w:val="21"/>
        </w:rPr>
        <w:t> controladas: </w:t>
      </w:r>
      <w:r>
        <w:rPr>
          <w:sz w:val="21"/>
        </w:rPr>
        <w:t>as atualizações de software e correções de segurança devem ser </w:t>
      </w:r>
      <w:r>
        <w:rPr>
          <w:sz w:val="21"/>
        </w:rPr>
        <w:t>previamente avaliadas e executadas por profissionais autorizados. Nos sistemas críticos e embarcados, as intervenções devem observar também as diretrizes da seção 4.3.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Sistemas</w:t>
      </w:r>
      <w:r>
        <w:rPr>
          <w:b/>
          <w:spacing w:val="32"/>
          <w:sz w:val="21"/>
        </w:rPr>
        <w:t> </w:t>
      </w:r>
      <w:r>
        <w:rPr>
          <w:b/>
          <w:sz w:val="21"/>
        </w:rPr>
        <w:t>legados: </w:t>
      </w:r>
      <w:r>
        <w:rPr>
          <w:sz w:val="21"/>
        </w:rPr>
        <w:t>os sistemas mais antigos, especialmente aqueles relacionados ao controle de voo, </w:t>
      </w:r>
      <w:r>
        <w:rPr>
          <w:sz w:val="21"/>
        </w:rPr>
        <w:t>devem receber atenção específica devido às possíveis limitações tecnológicas e dificuldades de atualização. A renovação dos equipamentos, realizada em média a cada cinco anos, não substitui a necessidade de avaliar e corrigir vulnerabilidades durante esse período.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4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Tratamento</w:t>
      </w:r>
      <w:r>
        <w:rPr>
          <w:b/>
          <w:sz w:val="21"/>
        </w:rPr>
        <w:t> de exceções: </w:t>
      </w:r>
      <w:r>
        <w:rPr>
          <w:sz w:val="21"/>
        </w:rPr>
        <w:t>quando uma correção não puder ser realizada imediatamente por </w:t>
      </w:r>
      <w:r>
        <w:rPr>
          <w:sz w:val="21"/>
        </w:rPr>
        <w:t>questões técnicas ou operacionais, a justificativa deve ser registrada e devem ser avaliadas medidas alternativas de proteção até que a vulnerabilidade seja tratada.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Registro</w:t>
      </w:r>
      <w:r>
        <w:rPr>
          <w:b/>
          <w:sz w:val="21"/>
        </w:rPr>
        <w:t> e acompanhamento: </w:t>
      </w:r>
      <w:r>
        <w:rPr>
          <w:sz w:val="21"/>
        </w:rPr>
        <w:t>as vulnerabilidades identificadas, as correções realizadas e as pendências devem ser documentadas pela equipe de TI, permitindo seu acompanhamento e integração com </w:t>
      </w:r>
      <w:r>
        <w:rPr>
          <w:sz w:val="21"/>
        </w:rPr>
        <w:t>os tratamentos definidos na PGR, especialmente em relação às falhas de sistemas legados (R04).</w:t>
      </w:r>
    </w:p>
    <w:p>
      <w:pPr>
        <w:pStyle w:val="Heading4"/>
        <w:numPr>
          <w:ilvl w:val="1"/>
          <w:numId w:val="1"/>
        </w:numPr>
        <w:tabs>
          <w:tab w:pos="502" w:val="left" w:leader="none"/>
        </w:tabs>
        <w:spacing w:line="240" w:lineRule="auto" w:before="244" w:after="0"/>
        <w:ind w:left="502" w:right="0" w:hanging="361"/>
        <w:jc w:val="both"/>
      </w:pPr>
      <w:r>
        <w:rPr/>
        <w:t>Backup e </w:t>
      </w:r>
      <w:r>
        <w:rPr>
          <w:spacing w:val="-2"/>
        </w:rPr>
        <w:t>recuperação</w:t>
      </w:r>
    </w:p>
    <w:p>
      <w:pPr>
        <w:pStyle w:val="BodyText"/>
        <w:spacing w:line="252" w:lineRule="auto" w:before="146"/>
        <w:ind w:left="141"/>
      </w:pPr>
      <w:r>
        <w:rPr/>
        <w:t>A AeroLog deve manter cópias de segurança das informações e dos sistemas necessários à continuidade de </w:t>
      </w:r>
      <w:r>
        <w:rPr/>
        <w:t>suas atividades,</w:t>
      </w:r>
      <w:r>
        <w:rPr>
          <w:spacing w:val="-1"/>
        </w:rPr>
        <w:t> </w:t>
      </w:r>
      <w:r>
        <w:rPr/>
        <w:t>garantindo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possibilidade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recuperação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dados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situações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falhas,</w:t>
      </w:r>
      <w:r>
        <w:rPr>
          <w:spacing w:val="-1"/>
        </w:rPr>
        <w:t> </w:t>
      </w:r>
      <w:r>
        <w:rPr/>
        <w:t>ataques</w:t>
      </w:r>
      <w:r>
        <w:rPr>
          <w:spacing w:val="-1"/>
        </w:rPr>
        <w:t> </w:t>
      </w:r>
      <w:r>
        <w:rPr/>
        <w:t>cibernéticos</w:t>
      </w:r>
      <w:r>
        <w:rPr>
          <w:spacing w:val="-1"/>
        </w:rPr>
        <w:t> </w:t>
      </w:r>
      <w:r>
        <w:rPr/>
        <w:t>ou indisponibilidade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serviços.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medidas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backup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estar</w:t>
      </w:r>
      <w:r>
        <w:rPr>
          <w:spacing w:val="-4"/>
        </w:rPr>
        <w:t> </w:t>
      </w:r>
      <w:r>
        <w:rPr/>
        <w:t>alinhadas</w:t>
      </w:r>
      <w:r>
        <w:rPr>
          <w:spacing w:val="-4"/>
        </w:rPr>
        <w:t> </w:t>
      </w:r>
      <w:r>
        <w:rPr/>
        <w:t>às</w:t>
      </w:r>
      <w:r>
        <w:rPr>
          <w:spacing w:val="-4"/>
        </w:rPr>
        <w:t> </w:t>
      </w:r>
      <w:r>
        <w:rPr/>
        <w:t>estratégias</w:t>
      </w:r>
      <w:r>
        <w:rPr>
          <w:spacing w:val="-4"/>
        </w:rPr>
        <w:t> </w:t>
      </w:r>
      <w:r>
        <w:rPr/>
        <w:t>estabelecidas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PCN,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Realização</w:t>
      </w:r>
      <w:r>
        <w:rPr>
          <w:b/>
          <w:spacing w:val="39"/>
          <w:sz w:val="21"/>
        </w:rPr>
        <w:t> </w:t>
      </w:r>
      <w:r>
        <w:rPr>
          <w:b/>
          <w:sz w:val="21"/>
        </w:rPr>
        <w:t>de backups: </w:t>
      </w:r>
      <w:r>
        <w:rPr>
          <w:sz w:val="21"/>
        </w:rPr>
        <w:t>em alinhamento ao PCN, devem ser realizadas cópias incrementais diárias e cópias completas</w:t>
      </w:r>
      <w:r>
        <w:rPr>
          <w:spacing w:val="-1"/>
          <w:sz w:val="21"/>
        </w:rPr>
        <w:t> </w:t>
      </w:r>
      <w:r>
        <w:rPr>
          <w:sz w:val="21"/>
        </w:rPr>
        <w:t>semanais</w:t>
      </w:r>
      <w:r>
        <w:rPr>
          <w:spacing w:val="-1"/>
          <w:sz w:val="21"/>
        </w:rPr>
        <w:t> </w:t>
      </w:r>
      <w:r>
        <w:rPr>
          <w:sz w:val="21"/>
        </w:rPr>
        <w:t>dos</w:t>
      </w:r>
      <w:r>
        <w:rPr>
          <w:spacing w:val="-1"/>
          <w:sz w:val="21"/>
        </w:rPr>
        <w:t> </w:t>
      </w:r>
      <w:r>
        <w:rPr>
          <w:sz w:val="21"/>
        </w:rPr>
        <w:t>dados</w:t>
      </w:r>
      <w:r>
        <w:rPr>
          <w:spacing w:val="-1"/>
          <w:sz w:val="21"/>
        </w:rPr>
        <w:t> </w:t>
      </w:r>
      <w:r>
        <w:rPr>
          <w:sz w:val="21"/>
        </w:rPr>
        <w:t>críticos</w:t>
      </w:r>
      <w:r>
        <w:rPr>
          <w:spacing w:val="-1"/>
          <w:sz w:val="21"/>
        </w:rPr>
        <w:t> </w:t>
      </w:r>
      <w:r>
        <w:rPr>
          <w:sz w:val="21"/>
        </w:rPr>
        <w:t>do</w:t>
      </w:r>
      <w:r>
        <w:rPr>
          <w:spacing w:val="-1"/>
          <w:sz w:val="21"/>
        </w:rPr>
        <w:t> </w:t>
      </w:r>
      <w:r>
        <w:rPr>
          <w:sz w:val="21"/>
        </w:rPr>
        <w:t>sistema</w:t>
      </w:r>
      <w:r>
        <w:rPr>
          <w:spacing w:val="-1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z w:val="21"/>
        </w:rPr>
        <w:t>reservas,</w:t>
      </w:r>
      <w:r>
        <w:rPr>
          <w:spacing w:val="-1"/>
          <w:sz w:val="21"/>
        </w:rPr>
        <w:t> </w:t>
      </w:r>
      <w:r>
        <w:rPr>
          <w:sz w:val="21"/>
        </w:rPr>
        <w:t>considerando</w:t>
      </w:r>
      <w:r>
        <w:rPr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necessidades</w:t>
      </w:r>
      <w:r>
        <w:rPr>
          <w:spacing w:val="-1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z w:val="21"/>
        </w:rPr>
        <w:t>recuperação e a capacidade da infraestrutura.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Proteção</w:t>
      </w:r>
      <w:r>
        <w:rPr>
          <w:b/>
          <w:spacing w:val="25"/>
          <w:sz w:val="21"/>
        </w:rPr>
        <w:t> </w:t>
      </w:r>
      <w:r>
        <w:rPr>
          <w:b/>
          <w:sz w:val="21"/>
        </w:rPr>
        <w:t>das cópias: </w:t>
      </w:r>
      <w:r>
        <w:rPr>
          <w:sz w:val="21"/>
        </w:rPr>
        <w:t>os backups devem ser protegidos contra acessos não autorizados, alterações </w:t>
      </w:r>
      <w:r>
        <w:rPr>
          <w:sz w:val="21"/>
        </w:rPr>
        <w:t>indevidas, exclusão e comprometimento por ataques cibernéticos, utilizando mecanismos de proteção e controle de acesso adequados.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Backup</w:t>
      </w:r>
      <w:r>
        <w:rPr>
          <w:b/>
          <w:sz w:val="21"/>
        </w:rPr>
        <w:t> offline: </w:t>
      </w:r>
      <w:r>
        <w:rPr>
          <w:sz w:val="21"/>
        </w:rPr>
        <w:t>deve ser mantida pelo menos uma cópia de segurança offline dos dados necessários à recuperação do sistema de reservas, desconectada da rede e protegida contra acessos indevidos.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Testes</w:t>
      </w:r>
      <w:r>
        <w:rPr>
          <w:b/>
          <w:spacing w:val="23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restauração:</w:t>
      </w:r>
      <w:r>
        <w:rPr>
          <w:b/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equipe</w:t>
      </w:r>
      <w:r>
        <w:rPr>
          <w:spacing w:val="-1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z w:val="21"/>
        </w:rPr>
        <w:t>TI,</w:t>
      </w:r>
      <w:r>
        <w:rPr>
          <w:spacing w:val="-1"/>
          <w:sz w:val="21"/>
        </w:rPr>
        <w:t> </w:t>
      </w:r>
      <w:r>
        <w:rPr>
          <w:sz w:val="21"/>
        </w:rPr>
        <w:t>em</w:t>
      </w:r>
      <w:r>
        <w:rPr>
          <w:spacing w:val="-1"/>
          <w:sz w:val="21"/>
        </w:rPr>
        <w:t> </w:t>
      </w:r>
      <w:r>
        <w:rPr>
          <w:sz w:val="21"/>
        </w:rPr>
        <w:t>conjunto</w:t>
      </w:r>
      <w:r>
        <w:rPr>
          <w:spacing w:val="-1"/>
          <w:sz w:val="21"/>
        </w:rPr>
        <w:t> </w:t>
      </w:r>
      <w:r>
        <w:rPr>
          <w:sz w:val="21"/>
        </w:rPr>
        <w:t>com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gestão</w:t>
      </w:r>
      <w:r>
        <w:rPr>
          <w:spacing w:val="-1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z w:val="21"/>
        </w:rPr>
        <w:t>reservas,</w:t>
      </w:r>
      <w:r>
        <w:rPr>
          <w:spacing w:val="-1"/>
          <w:sz w:val="21"/>
        </w:rPr>
        <w:t> </w:t>
      </w:r>
      <w:r>
        <w:rPr>
          <w:sz w:val="21"/>
        </w:rPr>
        <w:t>deve</w:t>
      </w:r>
      <w:r>
        <w:rPr>
          <w:spacing w:val="-1"/>
          <w:sz w:val="21"/>
        </w:rPr>
        <w:t> </w:t>
      </w:r>
      <w:r>
        <w:rPr>
          <w:sz w:val="21"/>
        </w:rPr>
        <w:t>realizar</w:t>
      </w:r>
      <w:r>
        <w:rPr>
          <w:spacing w:val="-1"/>
          <w:sz w:val="21"/>
        </w:rPr>
        <w:t> </w:t>
      </w:r>
      <w:r>
        <w:rPr>
          <w:sz w:val="21"/>
        </w:rPr>
        <w:t>testes</w:t>
      </w:r>
      <w:r>
        <w:rPr>
          <w:spacing w:val="-1"/>
          <w:sz w:val="21"/>
        </w:rPr>
        <w:t> </w:t>
      </w:r>
      <w:r>
        <w:rPr>
          <w:sz w:val="21"/>
        </w:rPr>
        <w:t>trimestrais de restauração em ambiente separado, verificando a integridade das cópias e a possibilidade de recuperação dos dados. Os resultados devem ser registrados para acompanhamento.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Responsabilidades:</w:t>
      </w:r>
      <w:r>
        <w:rPr>
          <w:b/>
          <w:spacing w:val="29"/>
          <w:sz w:val="21"/>
        </w:rPr>
        <w:t> </w:t>
      </w:r>
      <w:r>
        <w:rPr>
          <w:sz w:val="21"/>
        </w:rPr>
        <w:t>a equipe de TI deve coordenar a realização, a proteção e a verificação dos backups, </w:t>
      </w:r>
      <w:r>
        <w:rPr>
          <w:sz w:val="21"/>
        </w:rPr>
        <w:t>com participação dos responsáveis pelos sistemas e informações envolvidos.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Integração</w:t>
      </w:r>
      <w:r>
        <w:rPr>
          <w:b/>
          <w:sz w:val="21"/>
        </w:rPr>
        <w:t> com a continuidade: </w:t>
      </w:r>
      <w:r>
        <w:rPr>
          <w:sz w:val="21"/>
        </w:rPr>
        <w:t>a recuperação dos dados deve seguir as prioridades e </w:t>
      </w:r>
      <w:r>
        <w:rPr>
          <w:sz w:val="21"/>
        </w:rPr>
        <w:t>estratégias estabelecidas no PCN. A utilização de backups deve ocorrer após a avaliação e o controle da causa do incidente, com verificação da integridade das informações antes da retomada dos serviços. Os backups não substituem as medidas de proteção contra ataques DDoS.</w:t>
      </w:r>
    </w:p>
    <w:p>
      <w:pPr>
        <w:pStyle w:val="Heading4"/>
        <w:numPr>
          <w:ilvl w:val="1"/>
          <w:numId w:val="1"/>
        </w:numPr>
        <w:tabs>
          <w:tab w:pos="502" w:val="left" w:leader="none"/>
        </w:tabs>
        <w:spacing w:line="240" w:lineRule="auto" w:before="245" w:after="0"/>
        <w:ind w:left="502" w:right="0" w:hanging="361"/>
        <w:jc w:val="both"/>
      </w:pPr>
      <w:r>
        <w:rPr/>
        <w:t>Incidentes de </w:t>
      </w:r>
      <w:r>
        <w:rPr>
          <w:spacing w:val="-2"/>
        </w:rPr>
        <w:t>segurança</w:t>
      </w:r>
    </w:p>
    <w:p>
      <w:pPr>
        <w:pStyle w:val="BodyText"/>
        <w:spacing w:line="252" w:lineRule="auto" w:before="145"/>
        <w:ind w:left="141"/>
      </w:pPr>
      <w:r>
        <w:rPr/>
        <w:t>Os incidentes de segurança da informação que possam comprometer os sistemas, os dados ou as operações da AeroLog devem ser comunicados, registrados e avaliados de maneira adequada, permitindo a adoção </w:t>
      </w:r>
      <w:r>
        <w:rPr/>
        <w:t>de</w:t>
      </w:r>
      <w:r>
        <w:rPr>
          <w:spacing w:val="40"/>
        </w:rPr>
        <w:t> </w:t>
      </w:r>
      <w:r>
        <w:rPr/>
        <w:t>medidas para reduzir seus impactos e prevenir novas ocorrências,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Comunicação</w:t>
      </w:r>
      <w:r>
        <w:rPr>
          <w:b/>
          <w:sz w:val="21"/>
        </w:rPr>
        <w:t> de incidentes: </w:t>
      </w:r>
      <w:r>
        <w:rPr>
          <w:sz w:val="21"/>
        </w:rPr>
        <w:t>todos os colaboradores, prestadores de serviço e fornecedores </w:t>
      </w:r>
      <w:r>
        <w:rPr>
          <w:sz w:val="21"/>
        </w:rPr>
        <w:t>devem comunicar à equipe de TI qualquer suspeita ou ocorrência de incidente de segurança, incluindo tentativas de fraude, acessos não autorizados, ataques cibernéticos e falhas em sistemas críticos.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Canal</w:t>
      </w:r>
      <w:r>
        <w:rPr>
          <w:b/>
          <w:sz w:val="21"/>
        </w:rPr>
        <w:t> de comunicação: </w:t>
      </w:r>
      <w:r>
        <w:rPr>
          <w:sz w:val="21"/>
        </w:rPr>
        <w:t>a AeroLog deve disponibilizar um canal corporativo de atendimento da TI para o recebimento dos relatos. Também deve ser definido um canal alternativo para situações em que o meio principal estiver indisponível.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11910" w:h="16840"/>
          <w:pgMar w:header="0" w:footer="334" w:top="1080" w:bottom="560" w:left="992" w:right="992"/>
        </w:sectPr>
      </w:pP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46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Registro</w:t>
      </w:r>
      <w:r>
        <w:rPr>
          <w:b/>
          <w:sz w:val="21"/>
        </w:rPr>
        <w:t> das ocorrências: </w:t>
      </w:r>
      <w:r>
        <w:rPr>
          <w:sz w:val="21"/>
        </w:rPr>
        <w:t>os incidentes relatados devem ser documentados, contendo informações como data, horário, sistemas afetados, descrição da ocorrência, responsáveis envolvidos e medidas adotadas.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1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Avaliação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e tratamento: </w:t>
      </w:r>
      <w:r>
        <w:rPr>
          <w:sz w:val="21"/>
        </w:rPr>
        <w:t>a equipe de TI deve avaliar a gravidade dos incidentes e coordenar o tratamento técnico com os responsáveis pelos sistemas e pelas operações afetadas. Nos casos que envolvam </w:t>
      </w:r>
      <w:r>
        <w:rPr>
          <w:sz w:val="21"/>
        </w:rPr>
        <w:t>sistemas embarcados, as decisões devem considerar a avaliação das equipes técnicas e operacionais competentes.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Proteção</w:t>
      </w:r>
      <w:r>
        <w:rPr>
          <w:b/>
          <w:spacing w:val="23"/>
          <w:sz w:val="21"/>
        </w:rPr>
        <w:t> </w:t>
      </w:r>
      <w:r>
        <w:rPr>
          <w:b/>
          <w:sz w:val="21"/>
        </w:rPr>
        <w:t>dos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registros:</w:t>
      </w:r>
      <w:r>
        <w:rPr>
          <w:b/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informações</w:t>
      </w:r>
      <w:r>
        <w:rPr>
          <w:spacing w:val="-1"/>
          <w:sz w:val="21"/>
        </w:rPr>
        <w:t> </w:t>
      </w:r>
      <w:r>
        <w:rPr>
          <w:sz w:val="21"/>
        </w:rPr>
        <w:t>e</w:t>
      </w:r>
      <w:r>
        <w:rPr>
          <w:spacing w:val="-1"/>
          <w:sz w:val="21"/>
        </w:rPr>
        <w:t> </w:t>
      </w:r>
      <w:r>
        <w:rPr>
          <w:sz w:val="21"/>
        </w:rPr>
        <w:t>evidências</w:t>
      </w:r>
      <w:r>
        <w:rPr>
          <w:spacing w:val="-1"/>
          <w:sz w:val="21"/>
        </w:rPr>
        <w:t> </w:t>
      </w:r>
      <w:r>
        <w:rPr>
          <w:sz w:val="21"/>
        </w:rPr>
        <w:t>relacionadas</w:t>
      </w:r>
      <w:r>
        <w:rPr>
          <w:spacing w:val="-1"/>
          <w:sz w:val="21"/>
        </w:rPr>
        <w:t> </w:t>
      </w:r>
      <w:r>
        <w:rPr>
          <w:sz w:val="21"/>
        </w:rPr>
        <w:t>aos</w:t>
      </w:r>
      <w:r>
        <w:rPr>
          <w:spacing w:val="-1"/>
          <w:sz w:val="21"/>
        </w:rPr>
        <w:t> </w:t>
      </w:r>
      <w:r>
        <w:rPr>
          <w:sz w:val="21"/>
        </w:rPr>
        <w:t>incidentes</w:t>
      </w:r>
      <w:r>
        <w:rPr>
          <w:spacing w:val="-1"/>
          <w:sz w:val="21"/>
        </w:rPr>
        <w:t> </w:t>
      </w:r>
      <w:r>
        <w:rPr>
          <w:sz w:val="21"/>
        </w:rPr>
        <w:t>devem</w:t>
      </w:r>
      <w:r>
        <w:rPr>
          <w:spacing w:val="-1"/>
          <w:sz w:val="21"/>
        </w:rPr>
        <w:t> </w:t>
      </w:r>
      <w:r>
        <w:rPr>
          <w:sz w:val="21"/>
        </w:rPr>
        <w:t>ser</w:t>
      </w:r>
      <w:r>
        <w:rPr>
          <w:spacing w:val="-1"/>
          <w:sz w:val="21"/>
        </w:rPr>
        <w:t> </w:t>
      </w:r>
      <w:r>
        <w:rPr>
          <w:sz w:val="21"/>
        </w:rPr>
        <w:t>protegidas</w:t>
      </w:r>
      <w:r>
        <w:rPr>
          <w:spacing w:val="-1"/>
          <w:sz w:val="21"/>
        </w:rPr>
        <w:t> </w:t>
      </w:r>
      <w:r>
        <w:rPr>
          <w:sz w:val="21"/>
        </w:rPr>
        <w:t>contra acesso não autorizado, alteração e exclusão indevida, preservando sua integridade para análises e auditorias.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Comunicação</w:t>
      </w:r>
      <w:r>
        <w:rPr>
          <w:b/>
          <w:sz w:val="21"/>
        </w:rPr>
        <w:t> às autoridades: </w:t>
      </w:r>
      <w:r>
        <w:rPr>
          <w:sz w:val="21"/>
        </w:rPr>
        <w:t>quando aplicável, a empresa deve avaliar as obrigações de comunicação </w:t>
      </w:r>
      <w:r>
        <w:rPr>
          <w:sz w:val="21"/>
        </w:rPr>
        <w:t>à ANAC, ao DECEA e à Autoridade Nacional de Proteção de Dados (ANPD), conforme a natureza do incidente e os requisitos legais e regulatórios pertinentes. A comunicação deve ser coordenada pelas funções responsáveis e realizada por canais oficiais.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Integração</w:t>
      </w:r>
      <w:r>
        <w:rPr>
          <w:b/>
          <w:spacing w:val="35"/>
          <w:sz w:val="21"/>
        </w:rPr>
        <w:t> </w:t>
      </w:r>
      <w:r>
        <w:rPr>
          <w:b/>
          <w:sz w:val="21"/>
        </w:rPr>
        <w:t>com riscos e continuidade: </w:t>
      </w:r>
      <w:r>
        <w:rPr>
          <w:sz w:val="21"/>
        </w:rPr>
        <w:t>os incidentes relevantes devem ser considerados na revisão da </w:t>
      </w:r>
      <w:r>
        <w:rPr>
          <w:sz w:val="21"/>
        </w:rPr>
        <w:t>PGR. Quando uma ocorrência causar interrupção significativa dos serviços críticos, a função designada pela Alta Administração deverá avaliar a ativação do PCN, observando os critérios e as responsabilidades nele </w:t>
      </w:r>
      <w:r>
        <w:rPr>
          <w:spacing w:val="-2"/>
          <w:sz w:val="21"/>
        </w:rPr>
        <w:t>estabelecidos.</w:t>
      </w:r>
    </w:p>
    <w:p>
      <w:pPr>
        <w:pStyle w:val="Heading4"/>
        <w:numPr>
          <w:ilvl w:val="1"/>
          <w:numId w:val="1"/>
        </w:numPr>
        <w:tabs>
          <w:tab w:pos="502" w:val="left" w:leader="none"/>
        </w:tabs>
        <w:spacing w:line="240" w:lineRule="auto" w:before="245" w:after="0"/>
        <w:ind w:left="502" w:right="0" w:hanging="361"/>
        <w:jc w:val="both"/>
      </w:pPr>
      <w:r>
        <w:rPr/>
        <w:t>Treinamento e </w:t>
      </w:r>
      <w:r>
        <w:rPr>
          <w:spacing w:val="-2"/>
        </w:rPr>
        <w:t>conscientização</w:t>
      </w:r>
    </w:p>
    <w:p>
      <w:pPr>
        <w:pStyle w:val="BodyText"/>
        <w:spacing w:line="252" w:lineRule="auto" w:before="145"/>
        <w:ind w:left="141"/>
      </w:pPr>
      <w:r>
        <w:rPr/>
        <w:t>A AeroLog deve promover ações periódicas de treinamento e conscientização em segurança da </w:t>
      </w:r>
      <w:r>
        <w:rPr/>
        <w:t>informação, considerando os diferentes níveis de conhecimento e as responsabilidades de seus 1.100 colaboradores. Essas ações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contribuir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prevenção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incidentes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utilização</w:t>
      </w:r>
      <w:r>
        <w:rPr>
          <w:spacing w:val="-4"/>
        </w:rPr>
        <w:t> </w:t>
      </w:r>
      <w:r>
        <w:rPr/>
        <w:t>segura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sistemas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informações da empresa,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4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Treinamento</w:t>
      </w:r>
      <w:r>
        <w:rPr>
          <w:b/>
          <w:sz w:val="21"/>
        </w:rPr>
        <w:t> periódico: </w:t>
      </w:r>
      <w:r>
        <w:rPr>
          <w:sz w:val="21"/>
        </w:rPr>
        <w:t>devem ser realizados treinamentos anuais de segurança da informação para os colaboradores, considerando que o último treinamento ocorreu há quatro anos.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1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Orientação</w:t>
      </w:r>
      <w:r>
        <w:rPr>
          <w:b/>
          <w:sz w:val="21"/>
        </w:rPr>
        <w:t> inicial: </w:t>
      </w:r>
      <w:r>
        <w:rPr>
          <w:sz w:val="21"/>
        </w:rPr>
        <w:t>os novos colaboradores devem receber orientações sobre as regras de segurança da informação da AeroLog, incluindo proteção de credenciais, utilização adequada dos sistemas e comunicação de incidentes.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Conteúdo</w:t>
      </w:r>
      <w:r>
        <w:rPr>
          <w:b/>
          <w:sz w:val="21"/>
        </w:rPr>
        <w:t> dos treinamentos: </w:t>
      </w:r>
      <w:r>
        <w:rPr>
          <w:sz w:val="21"/>
        </w:rPr>
        <w:t>as capacitações devem abordar temas como identificação de </w:t>
      </w:r>
      <w:r>
        <w:rPr>
          <w:sz w:val="21"/>
        </w:rPr>
        <w:t>phishing, prevenção de fraudes, proteção de senhas, cuidados com dados pessoais e reconhecimento de atividades </w:t>
      </w:r>
      <w:r>
        <w:rPr>
          <w:spacing w:val="-2"/>
          <w:sz w:val="21"/>
        </w:rPr>
        <w:t>suspeitas.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Adequação</w:t>
      </w:r>
      <w:r>
        <w:rPr>
          <w:b/>
          <w:spacing w:val="33"/>
          <w:sz w:val="21"/>
        </w:rPr>
        <w:t> </w:t>
      </w:r>
      <w:r>
        <w:rPr>
          <w:b/>
          <w:sz w:val="21"/>
        </w:rPr>
        <w:t>às funções: </w:t>
      </w:r>
      <w:r>
        <w:rPr>
          <w:sz w:val="21"/>
        </w:rPr>
        <w:t>os treinamentos devem considerar as atividades e os conhecimentos dos diferentes públicos</w:t>
      </w:r>
      <w:r>
        <w:rPr>
          <w:spacing w:val="-3"/>
          <w:sz w:val="21"/>
        </w:rPr>
        <w:t> </w:t>
      </w:r>
      <w:r>
        <w:rPr>
          <w:sz w:val="21"/>
        </w:rPr>
        <w:t>da</w:t>
      </w:r>
      <w:r>
        <w:rPr>
          <w:spacing w:val="-3"/>
          <w:sz w:val="21"/>
        </w:rPr>
        <w:t> </w:t>
      </w:r>
      <w:r>
        <w:rPr>
          <w:sz w:val="21"/>
        </w:rPr>
        <w:t>empresa.</w:t>
      </w:r>
      <w:r>
        <w:rPr>
          <w:spacing w:val="-3"/>
          <w:sz w:val="21"/>
        </w:rPr>
        <w:t> </w:t>
      </w:r>
      <w:r>
        <w:rPr>
          <w:sz w:val="21"/>
        </w:rPr>
        <w:t>Pilotos,</w:t>
      </w:r>
      <w:r>
        <w:rPr>
          <w:spacing w:val="-3"/>
          <w:sz w:val="21"/>
        </w:rPr>
        <w:t> </w:t>
      </w:r>
      <w:r>
        <w:rPr>
          <w:sz w:val="21"/>
        </w:rPr>
        <w:t>engenheiros,</w:t>
      </w:r>
      <w:r>
        <w:rPr>
          <w:spacing w:val="-3"/>
          <w:sz w:val="21"/>
        </w:rPr>
        <w:t> </w:t>
      </w:r>
      <w:r>
        <w:rPr>
          <w:sz w:val="21"/>
        </w:rPr>
        <w:t>profissionais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manutenção,</w:t>
      </w:r>
      <w:r>
        <w:rPr>
          <w:spacing w:val="-3"/>
          <w:sz w:val="21"/>
        </w:rPr>
        <w:t> </w:t>
      </w:r>
      <w:r>
        <w:rPr>
          <w:sz w:val="21"/>
        </w:rPr>
        <w:t>equipe</w:t>
      </w:r>
      <w:r>
        <w:rPr>
          <w:spacing w:val="-3"/>
          <w:sz w:val="21"/>
        </w:rPr>
        <w:t> </w:t>
      </w:r>
      <w:r>
        <w:rPr>
          <w:sz w:val="21"/>
        </w:rPr>
        <w:t>administrativa</w:t>
      </w:r>
      <w:r>
        <w:rPr>
          <w:spacing w:val="-3"/>
          <w:sz w:val="21"/>
        </w:rPr>
        <w:t> </w:t>
      </w:r>
      <w:r>
        <w:rPr>
          <w:sz w:val="21"/>
        </w:rPr>
        <w:t>e</w:t>
      </w:r>
      <w:r>
        <w:rPr>
          <w:spacing w:val="-3"/>
          <w:sz w:val="21"/>
        </w:rPr>
        <w:t> </w:t>
      </w:r>
      <w:r>
        <w:rPr>
          <w:sz w:val="21"/>
        </w:rPr>
        <w:t>equipe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TI devem receber orientações compatíveis com suas responsabilidades.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Conscientização</w:t>
      </w:r>
      <w:r>
        <w:rPr>
          <w:b/>
          <w:sz w:val="21"/>
        </w:rPr>
        <w:t> contínua: </w:t>
      </w:r>
      <w:r>
        <w:rPr>
          <w:sz w:val="21"/>
        </w:rPr>
        <w:t>a empresa deve promover ações de orientação, como comunicados internos </w:t>
      </w:r>
      <w:r>
        <w:rPr>
          <w:sz w:val="21"/>
        </w:rPr>
        <w:t>e materiais educativos, reforçando os cuidados necessários para a proteção das informações e dos sistemas.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Registro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de participação: </w:t>
      </w:r>
      <w:r>
        <w:rPr>
          <w:sz w:val="21"/>
        </w:rPr>
        <w:t>a equipe de TI, em conjunto com os responsáveis pelas áreas, deve acompanhar </w:t>
      </w:r>
      <w:r>
        <w:rPr>
          <w:sz w:val="21"/>
        </w:rPr>
        <w:t>e registrar a participação dos colaboradores nos treinamentos, permitindo identificar necessidades de capacitação adicional.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Integração</w:t>
      </w:r>
      <w:r>
        <w:rPr>
          <w:b/>
          <w:spacing w:val="34"/>
          <w:sz w:val="21"/>
        </w:rPr>
        <w:t> </w:t>
      </w:r>
      <w:r>
        <w:rPr>
          <w:b/>
          <w:sz w:val="21"/>
        </w:rPr>
        <w:t>com riscos e continuidade: </w:t>
      </w:r>
      <w:r>
        <w:rPr>
          <w:sz w:val="21"/>
        </w:rPr>
        <w:t>as ações de treinamento devem considerar as ameaças </w:t>
      </w:r>
      <w:r>
        <w:rPr>
          <w:sz w:val="21"/>
        </w:rPr>
        <w:t>identificadas na PGR. Os profissionais com responsabilidades no PCN devem receber orientações específicas e participar dos exercícios de continuidade previstos no plano, respeitando as condições de segurança operacional.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11910" w:h="16840"/>
          <w:pgMar w:header="0" w:footer="334" w:top="1080" w:bottom="560" w:left="992" w:right="992"/>
        </w:sectPr>
      </w:pPr>
    </w:p>
    <w:p>
      <w:pPr>
        <w:pStyle w:val="Heading2"/>
        <w:numPr>
          <w:ilvl w:val="0"/>
          <w:numId w:val="1"/>
        </w:numPr>
        <w:tabs>
          <w:tab w:pos="441" w:val="left" w:leader="none"/>
        </w:tabs>
        <w:spacing w:line="240" w:lineRule="auto" w:before="10" w:after="0"/>
        <w:ind w:left="441" w:right="0" w:hanging="300"/>
        <w:jc w:val="left"/>
      </w:pPr>
      <w:r>
        <w:rPr/>
        <w:t>Papéis e </w:t>
      </w:r>
      <w:r>
        <w:rPr>
          <w:spacing w:val="-2"/>
        </w:rPr>
        <w:t>Responsabilidades</w:t>
      </w:r>
    </w:p>
    <w:p>
      <w:pPr>
        <w:pStyle w:val="BodyText"/>
        <w:spacing w:line="252" w:lineRule="auto" w:before="150"/>
        <w:ind w:left="141"/>
      </w:pPr>
      <w:r>
        <w:rPr/>
        <w:t>A aplicação e a manutenção desta Política de Segurança da Informação são responsabilidades </w:t>
      </w:r>
      <w:r>
        <w:rPr/>
        <w:t>compartilhadas entre a Alta Administração, a equipe de TI, os responsáveis pelas áreas, sistemas e contratos, os colaboradores e os fornecedores da AeroLog. Cada função deve atuar conforme suas atribuições, observando as responsabilidades estabelecidas a seguir.</w:t>
      </w:r>
    </w:p>
    <w:p>
      <w:pPr>
        <w:pStyle w:val="BodyText"/>
        <w:spacing w:before="10"/>
        <w:ind w:left="0" w:right="0"/>
        <w:jc w:val="left"/>
        <w:rPr>
          <w:sz w:val="8"/>
        </w:rPr>
      </w:pPr>
    </w:p>
    <w:tbl>
      <w:tblPr>
        <w:tblW w:w="0" w:type="auto"/>
        <w:jc w:val="left"/>
        <w:tblInd w:w="146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7257"/>
      </w:tblGrid>
      <w:tr>
        <w:trPr>
          <w:trHeight w:val="410" w:hRule="atLeast"/>
        </w:trPr>
        <w:tc>
          <w:tcPr>
            <w:tcW w:w="2381" w:type="dxa"/>
            <w:shd w:val="clear" w:color="auto" w:fill="E6EDF2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Função</w:t>
            </w:r>
          </w:p>
        </w:tc>
        <w:tc>
          <w:tcPr>
            <w:tcW w:w="7257" w:type="dxa"/>
            <w:shd w:val="clear" w:color="auto" w:fill="E6EDF2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Responsabilidades</w:t>
            </w:r>
          </w:p>
        </w:tc>
      </w:tr>
      <w:tr>
        <w:trPr>
          <w:trHeight w:val="890" w:hRule="atLeast"/>
        </w:trPr>
        <w:tc>
          <w:tcPr>
            <w:tcW w:w="2381" w:type="dxa"/>
          </w:tcPr>
          <w:p>
            <w:pPr>
              <w:pStyle w:val="TableParagraph"/>
              <w:spacing w:before="102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Alta </w:t>
            </w:r>
            <w:r>
              <w:rPr>
                <w:b/>
                <w:spacing w:val="-2"/>
                <w:sz w:val="19"/>
              </w:rPr>
              <w:t>Administração</w:t>
            </w:r>
          </w:p>
        </w:tc>
        <w:tc>
          <w:tcPr>
            <w:tcW w:w="7257" w:type="dxa"/>
          </w:tcPr>
          <w:p>
            <w:pPr>
              <w:pStyle w:val="TableParagraph"/>
              <w:spacing w:line="247" w:lineRule="auto"/>
              <w:ind w:right="396"/>
              <w:jc w:val="both"/>
              <w:rPr>
                <w:sz w:val="19"/>
              </w:rPr>
            </w:pPr>
            <w:r>
              <w:rPr>
                <w:sz w:val="19"/>
              </w:rPr>
              <w:t>Aprovar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esta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política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atualizações;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definir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prioridades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disponibilizar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recursos necessários à sua aplicação; acompanhar o cumprimento das diretrizes e os problemas relevantes apresentados pelas áreas responsáveis.</w:t>
            </w:r>
          </w:p>
        </w:tc>
      </w:tr>
      <w:tr>
        <w:trPr>
          <w:trHeight w:val="1370" w:hRule="atLeast"/>
        </w:trPr>
        <w:tc>
          <w:tcPr>
            <w:tcW w:w="2381" w:type="dxa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1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Equipe de </w:t>
            </w:r>
            <w:r>
              <w:rPr>
                <w:b/>
                <w:spacing w:val="-5"/>
                <w:sz w:val="19"/>
              </w:rPr>
              <w:t>TI</w:t>
            </w:r>
          </w:p>
        </w:tc>
        <w:tc>
          <w:tcPr>
            <w:tcW w:w="7257" w:type="dxa"/>
          </w:tcPr>
          <w:p>
            <w:pPr>
              <w:pStyle w:val="TableParagraph"/>
              <w:spacing w:line="247" w:lineRule="auto"/>
              <w:ind w:right="123"/>
              <w:rPr>
                <w:sz w:val="19"/>
              </w:rPr>
            </w:pPr>
            <w:r>
              <w:rPr>
                <w:sz w:val="19"/>
              </w:rPr>
              <w:t>Coordenar a manutenção da PSI, com participação das áreas envolvidas; verificar e executar as concessões, alterações e revogações de acesso autorizadas; implementar e manter os controles técnicos, incluindo MFA, criptografia e proteção das chaves; acompanhar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registros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alertas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segurança;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avaliar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tratar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tecnicamente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incidentes em articulação com os responsáveis pelos sistemas e pelas operações afetadas.</w:t>
            </w:r>
          </w:p>
        </w:tc>
      </w:tr>
      <w:tr>
        <w:trPr>
          <w:trHeight w:val="1370" w:hRule="atLeast"/>
        </w:trPr>
        <w:tc>
          <w:tcPr>
            <w:tcW w:w="2381" w:type="dxa"/>
          </w:tcPr>
          <w:p>
            <w:pPr>
              <w:pStyle w:val="TableParagraph"/>
              <w:spacing w:before="222"/>
              <w:ind w:left="0"/>
              <w:rPr>
                <w:sz w:val="19"/>
              </w:rPr>
            </w:pPr>
          </w:p>
          <w:p>
            <w:pPr>
              <w:pStyle w:val="TableParagraph"/>
              <w:spacing w:line="247" w:lineRule="auto" w:before="0"/>
              <w:ind w:right="135"/>
              <w:rPr>
                <w:b/>
                <w:sz w:val="19"/>
              </w:rPr>
            </w:pPr>
            <w:r>
              <w:rPr>
                <w:b/>
                <w:sz w:val="19"/>
              </w:rPr>
              <w:t>Responsáveis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pelas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áreas ou sistemas</w:t>
            </w:r>
          </w:p>
        </w:tc>
        <w:tc>
          <w:tcPr>
            <w:tcW w:w="7257" w:type="dxa"/>
          </w:tcPr>
          <w:p>
            <w:pPr>
              <w:pStyle w:val="TableParagraph"/>
              <w:spacing w:line="247" w:lineRule="auto"/>
              <w:rPr>
                <w:sz w:val="19"/>
              </w:rPr>
            </w:pPr>
            <w:r>
              <w:rPr>
                <w:sz w:val="19"/>
              </w:rPr>
              <w:t>Justificar e aprovar as necessidades de acesso; participar das revisões trimestrais de permissões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com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TI;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comunicar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mudanças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função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encerramentos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vínculo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 necessidade de acesso; acompanhar o cumprimento da política em suas atividades; participar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avaliação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operações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suspeitas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das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decisões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sobre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sistemas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sob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sua </w:t>
            </w:r>
            <w:r>
              <w:rPr>
                <w:spacing w:val="-2"/>
                <w:sz w:val="19"/>
              </w:rPr>
              <w:t>responsabilidade.</w:t>
            </w:r>
          </w:p>
        </w:tc>
      </w:tr>
      <w:tr>
        <w:trPr>
          <w:trHeight w:val="1130" w:hRule="atLeast"/>
        </w:trPr>
        <w:tc>
          <w:tcPr>
            <w:tcW w:w="2381" w:type="dxa"/>
          </w:tcPr>
          <w:p>
            <w:pPr>
              <w:pStyle w:val="TableParagraph"/>
              <w:spacing w:before="102"/>
              <w:ind w:left="0"/>
              <w:rPr>
                <w:sz w:val="19"/>
              </w:rPr>
            </w:pPr>
          </w:p>
          <w:p>
            <w:pPr>
              <w:pStyle w:val="TableParagraph"/>
              <w:spacing w:line="247" w:lineRule="auto" w:before="0"/>
              <w:ind w:right="734"/>
              <w:rPr>
                <w:b/>
                <w:sz w:val="19"/>
              </w:rPr>
            </w:pPr>
            <w:r>
              <w:rPr>
                <w:b/>
                <w:sz w:val="19"/>
              </w:rPr>
              <w:t>Responsáveis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pelos </w:t>
            </w:r>
            <w:r>
              <w:rPr>
                <w:b/>
                <w:spacing w:val="-2"/>
                <w:sz w:val="19"/>
              </w:rPr>
              <w:t>contratos</w:t>
            </w:r>
          </w:p>
        </w:tc>
        <w:tc>
          <w:tcPr>
            <w:tcW w:w="7257" w:type="dxa"/>
          </w:tcPr>
          <w:p>
            <w:pPr>
              <w:pStyle w:val="TableParagraph"/>
              <w:spacing w:line="247" w:lineRule="auto"/>
              <w:ind w:right="70"/>
              <w:rPr>
                <w:sz w:val="19"/>
              </w:rPr>
            </w:pPr>
            <w:r>
              <w:rPr>
                <w:sz w:val="19"/>
              </w:rPr>
              <w:t>Assegurar que os contratos contemplem as obrigações de segurança aplicáveis; acompanhar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seu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cumprimento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pelos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fornecedores;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manter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TI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informada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sobre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alterações de escopo, substituição de profissionais, encerramento dos contratos e outras mudanças que afetem os acessos concedidos.</w:t>
            </w:r>
          </w:p>
        </w:tc>
      </w:tr>
      <w:tr>
        <w:trPr>
          <w:trHeight w:val="1130" w:hRule="atLeast"/>
        </w:trPr>
        <w:tc>
          <w:tcPr>
            <w:tcW w:w="2381" w:type="dxa"/>
          </w:tcPr>
          <w:p>
            <w:pPr>
              <w:pStyle w:val="TableParagraph"/>
              <w:spacing w:before="102"/>
              <w:ind w:left="0"/>
              <w:rPr>
                <w:sz w:val="19"/>
              </w:rPr>
            </w:pPr>
          </w:p>
          <w:p>
            <w:pPr>
              <w:pStyle w:val="TableParagraph"/>
              <w:spacing w:line="247" w:lineRule="auto"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Equipes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técnicas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de operações aéreas</w:t>
            </w:r>
          </w:p>
        </w:tc>
        <w:tc>
          <w:tcPr>
            <w:tcW w:w="7257" w:type="dxa"/>
          </w:tcPr>
          <w:p>
            <w:pPr>
              <w:pStyle w:val="TableParagraph"/>
              <w:spacing w:line="247" w:lineRule="auto"/>
              <w:ind w:right="70"/>
              <w:rPr>
                <w:sz w:val="19"/>
              </w:rPr>
            </w:pPr>
            <w:r>
              <w:rPr>
                <w:sz w:val="19"/>
              </w:rPr>
              <w:t>Participar,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conforme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suas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competências,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avaliação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das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intervenções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sistemas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críticos e embarcados; avaliar os possíveis efeitos sobre a integridade dos sistemas e a segurança operacional; comunicar anomalias e atuar em conjunto com a TI e os fornecedores autorizados nas medidas técnicas necessárias.</w:t>
            </w:r>
          </w:p>
        </w:tc>
      </w:tr>
      <w:tr>
        <w:trPr>
          <w:trHeight w:val="1130" w:hRule="atLeast"/>
        </w:trPr>
        <w:tc>
          <w:tcPr>
            <w:tcW w:w="2381" w:type="dxa"/>
          </w:tcPr>
          <w:p>
            <w:pPr>
              <w:pStyle w:val="TableParagraph"/>
              <w:spacing w:before="222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Colaboradores</w:t>
            </w:r>
          </w:p>
        </w:tc>
        <w:tc>
          <w:tcPr>
            <w:tcW w:w="7257" w:type="dxa"/>
          </w:tcPr>
          <w:p>
            <w:pPr>
              <w:pStyle w:val="TableParagraph"/>
              <w:spacing w:line="247" w:lineRule="auto"/>
              <w:ind w:right="123"/>
              <w:rPr>
                <w:sz w:val="19"/>
              </w:rPr>
            </w:pPr>
            <w:r>
              <w:rPr>
                <w:sz w:val="19"/>
              </w:rPr>
              <w:t>Conhecer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cumprir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regras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aplicáveis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às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atividades;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utilizar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informações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sistemas somente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finalidades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autorizadas;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proteger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suas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credenciais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informações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sob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sua responsabilidade; comunicar suspeitas de incidentes à TI; participar das ações de orientação e capacitação previstas pela empresa.</w:t>
            </w:r>
          </w:p>
        </w:tc>
      </w:tr>
      <w:tr>
        <w:trPr>
          <w:trHeight w:val="1370" w:hRule="atLeast"/>
        </w:trPr>
        <w:tc>
          <w:tcPr>
            <w:tcW w:w="2381" w:type="dxa"/>
          </w:tcPr>
          <w:p>
            <w:pPr>
              <w:pStyle w:val="TableParagraph"/>
              <w:spacing w:before="222"/>
              <w:ind w:left="0"/>
              <w:rPr>
                <w:sz w:val="19"/>
              </w:rPr>
            </w:pPr>
          </w:p>
          <w:p>
            <w:pPr>
              <w:pStyle w:val="TableParagraph"/>
              <w:spacing w:line="247" w:lineRule="auto" w:before="0"/>
              <w:ind w:right="135"/>
              <w:rPr>
                <w:b/>
                <w:sz w:val="19"/>
              </w:rPr>
            </w:pPr>
            <w:r>
              <w:rPr>
                <w:b/>
                <w:sz w:val="19"/>
              </w:rPr>
              <w:t>Fornecedores e prestadores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serviço</w:t>
            </w:r>
          </w:p>
        </w:tc>
        <w:tc>
          <w:tcPr>
            <w:tcW w:w="7257" w:type="dxa"/>
          </w:tcPr>
          <w:p>
            <w:pPr>
              <w:pStyle w:val="TableParagraph"/>
              <w:spacing w:line="247" w:lineRule="auto"/>
              <w:ind w:right="123"/>
              <w:rPr>
                <w:sz w:val="19"/>
              </w:rPr>
            </w:pPr>
            <w:r>
              <w:rPr>
                <w:sz w:val="19"/>
              </w:rPr>
              <w:t>Cumprir esta política e os requisitos contratuais aplicáveis; utilizar os acessos exclusivamente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serviços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autorizados;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proteger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credenciais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informações;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comunicar incidentes ou suspeitas de comprometimento que possam afetar a AeroLog; informar alterações nos profissionais autorizados e colaborar com a apuração das ocorrências relacionadas aos serviços prestados.</w:t>
            </w:r>
          </w:p>
        </w:tc>
      </w:tr>
    </w:tbl>
    <w:p>
      <w:pPr>
        <w:pStyle w:val="TableParagraph"/>
        <w:spacing w:after="0" w:line="247" w:lineRule="auto"/>
        <w:rPr>
          <w:sz w:val="19"/>
        </w:rPr>
        <w:sectPr>
          <w:pgSz w:w="11910" w:h="16840"/>
          <w:pgMar w:header="0" w:footer="334" w:top="1120" w:bottom="560" w:left="992" w:right="992"/>
        </w:sectPr>
      </w:pPr>
    </w:p>
    <w:p>
      <w:pPr>
        <w:pStyle w:val="Heading2"/>
        <w:numPr>
          <w:ilvl w:val="0"/>
          <w:numId w:val="1"/>
        </w:numPr>
        <w:tabs>
          <w:tab w:pos="441" w:val="left" w:leader="none"/>
        </w:tabs>
        <w:spacing w:line="240" w:lineRule="auto" w:before="10" w:after="0"/>
        <w:ind w:left="441" w:right="0" w:hanging="300"/>
        <w:jc w:val="left"/>
      </w:pPr>
      <w:r>
        <w:rPr/>
        <w:t>Conformidade, Revisão e </w:t>
      </w:r>
      <w:r>
        <w:rPr>
          <w:spacing w:val="-2"/>
        </w:rPr>
        <w:t>Atualização</w:t>
      </w:r>
    </w:p>
    <w:p>
      <w:pPr>
        <w:pStyle w:val="BodyText"/>
        <w:spacing w:line="252" w:lineRule="auto" w:before="150"/>
        <w:ind w:left="141"/>
      </w:pPr>
      <w:r>
        <w:rPr/>
        <w:t>A Política de Segurança da Informação da AeroLog Transportes Aéreos deve observar os requisitos legais, regulatórios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contratuais</w:t>
      </w:r>
      <w:r>
        <w:rPr>
          <w:spacing w:val="-4"/>
        </w:rPr>
        <w:t> </w:t>
      </w:r>
      <w:r>
        <w:rPr/>
        <w:t>aplicáveis</w:t>
      </w:r>
      <w:r>
        <w:rPr>
          <w:spacing w:val="-4"/>
        </w:rPr>
        <w:t> </w:t>
      </w:r>
      <w:r>
        <w:rPr/>
        <w:t>às</w:t>
      </w:r>
      <w:r>
        <w:rPr>
          <w:spacing w:val="-4"/>
        </w:rPr>
        <w:t> </w:t>
      </w:r>
      <w:r>
        <w:rPr/>
        <w:t>suas</w:t>
      </w:r>
      <w:r>
        <w:rPr>
          <w:spacing w:val="-4"/>
        </w:rPr>
        <w:t> </w:t>
      </w:r>
      <w:r>
        <w:rPr/>
        <w:t>atividades,</w:t>
      </w:r>
      <w:r>
        <w:rPr>
          <w:spacing w:val="-4"/>
        </w:rPr>
        <w:t> </w:t>
      </w:r>
      <w:r>
        <w:rPr/>
        <w:t>garantindo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diretrizes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proteção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informações e dos sistemas permaneçam adequadas às necessidades da empresa.</w:t>
      </w:r>
    </w:p>
    <w:p>
      <w:pPr>
        <w:pStyle w:val="BodyText"/>
        <w:ind w:left="141" w:right="0"/>
      </w:pPr>
      <w:r>
        <w:rPr/>
        <w:t>A aplicação e a atualização desta política devem observar as seguintes </w:t>
      </w:r>
      <w:r>
        <w:rPr>
          <w:spacing w:val="-2"/>
        </w:rPr>
        <w:t>diretrizes: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252" w:lineRule="auto" w:before="134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Conformidade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legal: </w:t>
      </w:r>
      <w:r>
        <w:rPr>
          <w:sz w:val="21"/>
        </w:rPr>
        <w:t>a AeroLog deve observar a Lei Geral de Proteção de Dados Pessoais (Lei nº 13.709/2018), especialmente no tratamento dos dados dos passageiros, garantindo a adoção de </w:t>
      </w:r>
      <w:r>
        <w:rPr>
          <w:sz w:val="21"/>
        </w:rPr>
        <w:t>medidas destinadas à proteção dessas informações.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Requisitos</w:t>
      </w:r>
      <w:r>
        <w:rPr>
          <w:b/>
          <w:spacing w:val="25"/>
          <w:sz w:val="21"/>
        </w:rPr>
        <w:t> </w:t>
      </w:r>
      <w:r>
        <w:rPr>
          <w:b/>
          <w:sz w:val="21"/>
        </w:rPr>
        <w:t>aeronáuticos: </w:t>
      </w:r>
      <w:r>
        <w:rPr>
          <w:sz w:val="21"/>
        </w:rPr>
        <w:t>a empresa deve considerar as regulamentações de segurança cibernética aplicáveis à aviação civil, incluindo as exigências pertinentes da Agência Nacional de Aviação Civil (ANAC). Para os sistemas embarcados, devem ser avaliadas as orientações da RTCA DO-326A, conforme sua aplicabilidade às atividades e aos sistemas envolvidos.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252" w:lineRule="auto" w:before="124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Referências</w:t>
      </w:r>
      <w:r>
        <w:rPr>
          <w:b/>
          <w:sz w:val="21"/>
        </w:rPr>
        <w:t> internacionais: </w:t>
      </w:r>
      <w:r>
        <w:rPr>
          <w:sz w:val="21"/>
        </w:rPr>
        <w:t>as referências da Organização da Aviação Civil Internacional (ICAO) devem ser consideradas conforme sua pertinência e aplicabilidade. A relação do ICAO Doc 10151 com os requisitos de cibersegurança deverá ser esclarecida antes de sua utilização como fundamento de conformidade.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Revisão</w:t>
      </w:r>
      <w:r>
        <w:rPr>
          <w:b/>
          <w:sz w:val="21"/>
        </w:rPr>
        <w:t> periódica: </w:t>
      </w:r>
      <w:r>
        <w:rPr>
          <w:sz w:val="21"/>
        </w:rPr>
        <w:t>esta política deve ser revisada anualmente pela equipe de TI, com participação dos responsáveis pelas áreas envolvidas, para verificar sua adequação às necessidades da AeroLog.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Revisão</w:t>
      </w:r>
      <w:r>
        <w:rPr>
          <w:b/>
          <w:spacing w:val="33"/>
          <w:sz w:val="21"/>
        </w:rPr>
        <w:t> </w:t>
      </w:r>
      <w:r>
        <w:rPr>
          <w:b/>
          <w:sz w:val="21"/>
        </w:rPr>
        <w:t>extraordinária: </w:t>
      </w:r>
      <w:r>
        <w:rPr>
          <w:sz w:val="21"/>
        </w:rPr>
        <w:t>a política deve ser reavaliada antes do prazo previsto quando ocorrerem </w:t>
      </w:r>
      <w:r>
        <w:rPr>
          <w:sz w:val="21"/>
        </w:rPr>
        <w:t>incidentes relevantes, mudanças significativas nos sistemas, alterações nos contratos de fornecedores ou modificações nos requisitos legais e regulatórios aplicáveis.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Responsabilidades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pela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atualização:</w:t>
      </w:r>
      <w:r>
        <w:rPr>
          <w:b/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equipe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TI</w:t>
      </w:r>
      <w:r>
        <w:rPr>
          <w:spacing w:val="-4"/>
          <w:sz w:val="21"/>
        </w:rPr>
        <w:t> </w:t>
      </w:r>
      <w:r>
        <w:rPr>
          <w:sz w:val="21"/>
        </w:rPr>
        <w:t>deve</w:t>
      </w:r>
      <w:r>
        <w:rPr>
          <w:spacing w:val="-4"/>
          <w:sz w:val="21"/>
        </w:rPr>
        <w:t> </w:t>
      </w:r>
      <w:r>
        <w:rPr>
          <w:sz w:val="21"/>
        </w:rPr>
        <w:t>coordenar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revisão</w:t>
      </w:r>
      <w:r>
        <w:rPr>
          <w:spacing w:val="-4"/>
          <w:sz w:val="21"/>
        </w:rPr>
        <w:t> </w:t>
      </w:r>
      <w:r>
        <w:rPr>
          <w:sz w:val="21"/>
        </w:rPr>
        <w:t>da</w:t>
      </w:r>
      <w:r>
        <w:rPr>
          <w:spacing w:val="-4"/>
          <w:sz w:val="21"/>
        </w:rPr>
        <w:t> </w:t>
      </w:r>
      <w:r>
        <w:rPr>
          <w:sz w:val="21"/>
        </w:rPr>
        <w:t>política,</w:t>
      </w:r>
      <w:r>
        <w:rPr>
          <w:spacing w:val="-4"/>
          <w:sz w:val="21"/>
        </w:rPr>
        <w:t> </w:t>
      </w:r>
      <w:r>
        <w:rPr>
          <w:sz w:val="21"/>
        </w:rPr>
        <w:t>com</w:t>
      </w:r>
      <w:r>
        <w:rPr>
          <w:spacing w:val="-4"/>
          <w:sz w:val="21"/>
        </w:rPr>
        <w:t> </w:t>
      </w:r>
      <w:r>
        <w:rPr>
          <w:sz w:val="21"/>
        </w:rPr>
        <w:t>apoio</w:t>
      </w:r>
      <w:r>
        <w:rPr>
          <w:spacing w:val="-4"/>
          <w:sz w:val="21"/>
        </w:rPr>
        <w:t> </w:t>
      </w:r>
      <w:r>
        <w:rPr>
          <w:sz w:val="21"/>
        </w:rPr>
        <w:t>das</w:t>
      </w:r>
      <w:r>
        <w:rPr>
          <w:spacing w:val="-4"/>
          <w:sz w:val="21"/>
        </w:rPr>
        <w:t> </w:t>
      </w:r>
      <w:r>
        <w:rPr>
          <w:sz w:val="21"/>
        </w:rPr>
        <w:t>áreas responsáveis pelos sistemas e processos envolvidos. As alterações propostas devem ser submetidas </w:t>
      </w:r>
      <w:r>
        <w:rPr>
          <w:sz w:val="21"/>
        </w:rPr>
        <w:t>à aprovação da Alta Administração.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Divulgação</w:t>
      </w:r>
      <w:r>
        <w:rPr>
          <w:b/>
          <w:spacing w:val="38"/>
          <w:sz w:val="21"/>
        </w:rPr>
        <w:t> </w:t>
      </w:r>
      <w:r>
        <w:rPr>
          <w:b/>
          <w:sz w:val="21"/>
        </w:rPr>
        <w:t>das atualizações: </w:t>
      </w:r>
      <w:r>
        <w:rPr>
          <w:sz w:val="21"/>
        </w:rPr>
        <w:t>após a aprovação, a versão atualizada da política deve ser disponibilizada </w:t>
      </w:r>
      <w:r>
        <w:rPr>
          <w:sz w:val="21"/>
        </w:rPr>
        <w:t>aos colaboradores, fornecedores e demais partes envolvidas, conforme a aplicabilidade das regras às suas </w:t>
      </w:r>
      <w:r>
        <w:rPr>
          <w:spacing w:val="-2"/>
          <w:sz w:val="21"/>
        </w:rPr>
        <w:t>atividades.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Integração</w:t>
      </w:r>
      <w:r>
        <w:rPr>
          <w:b/>
          <w:sz w:val="21"/>
        </w:rPr>
        <w:t> com os demais documentos: </w:t>
      </w:r>
      <w:r>
        <w:rPr>
          <w:sz w:val="21"/>
        </w:rPr>
        <w:t>as alterações realizadas nesta política devem ser avaliadas </w:t>
      </w:r>
      <w:r>
        <w:rPr>
          <w:sz w:val="21"/>
        </w:rPr>
        <w:t>em conjunto com a PGR e o PCN, mantendo a coerência entre as diretrizes de segurança, os tratamentos de</w:t>
      </w:r>
      <w:r>
        <w:rPr>
          <w:spacing w:val="40"/>
          <w:sz w:val="21"/>
        </w:rPr>
        <w:t> </w:t>
      </w:r>
      <w:r>
        <w:rPr>
          <w:sz w:val="21"/>
        </w:rPr>
        <w:t>riscos e as estratégias de continuidade das operações.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11910" w:h="16840"/>
          <w:pgMar w:header="0" w:footer="334" w:top="1120" w:bottom="560" w:left="992" w:right="992"/>
        </w:sectPr>
      </w:pPr>
    </w:p>
    <w:p>
      <w:pPr>
        <w:pStyle w:val="Heading2"/>
        <w:ind w:left="141" w:firstLine="0"/>
      </w:pPr>
      <w:r>
        <w:rPr>
          <w:spacing w:val="-2"/>
        </w:rPr>
        <w:t>Referências</w:t>
      </w:r>
    </w:p>
    <w:p>
      <w:pPr>
        <w:pStyle w:val="BodyText"/>
        <w:spacing w:line="252" w:lineRule="auto" w:before="150"/>
        <w:ind w:left="141" w:right="298"/>
        <w:jc w:val="left"/>
      </w:pPr>
      <w:r>
        <w:rPr/>
        <w:t>GOVERNO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MGI.</w:t>
      </w:r>
      <w:r>
        <w:rPr>
          <w:spacing w:val="-3"/>
        </w:rPr>
        <w:t> </w:t>
      </w:r>
      <w:r>
        <w:rPr/>
        <w:t>Modelo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Política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Segurança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Informação.</w:t>
      </w:r>
      <w:r>
        <w:rPr>
          <w:spacing w:val="-3"/>
        </w:rPr>
        <w:t> </w:t>
      </w:r>
      <w:r>
        <w:rPr/>
        <w:t>PPSI</w:t>
      </w:r>
      <w:r>
        <w:rPr>
          <w:spacing w:val="-3"/>
        </w:rPr>
        <w:t> </w:t>
      </w:r>
      <w:r>
        <w:rPr/>
        <w:t>2.0,</w:t>
      </w:r>
      <w:r>
        <w:rPr>
          <w:spacing w:val="-3"/>
        </w:rPr>
        <w:t> </w:t>
      </w:r>
      <w:r>
        <w:rPr/>
        <w:t>versão</w:t>
      </w:r>
      <w:r>
        <w:rPr>
          <w:spacing w:val="-3"/>
        </w:rPr>
        <w:t> </w:t>
      </w:r>
      <w:r>
        <w:rPr/>
        <w:t>1.0,</w:t>
      </w:r>
      <w:r>
        <w:rPr>
          <w:spacing w:val="-3"/>
        </w:rPr>
        <w:t> </w:t>
      </w:r>
      <w:r>
        <w:rPr/>
        <w:t>2026. Disponível em: </w:t>
      </w:r>
      <w:hyperlink r:id="rId7">
        <w:r>
          <w:rPr>
            <w:color w:val="234D70"/>
            <w:u w:val="single" w:color="234D70"/>
          </w:rPr>
          <w:t>gov.br — documento oficial</w:t>
        </w:r>
      </w:hyperlink>
      <w:r>
        <w:rPr/>
        <w:t>. Acesso em: 13 out. 2026.</w:t>
      </w:r>
    </w:p>
    <w:p>
      <w:pPr>
        <w:pStyle w:val="BodyText"/>
        <w:spacing w:line="252" w:lineRule="auto" w:before="241"/>
        <w:ind w:left="141" w:right="1239"/>
        <w:jc w:val="left"/>
      </w:pPr>
      <w:r>
        <w:rPr/>
        <w:t>GOL</w:t>
      </w:r>
      <w:r>
        <w:rPr>
          <w:spacing w:val="-3"/>
        </w:rPr>
        <w:t> </w:t>
      </w:r>
      <w:r>
        <w:rPr/>
        <w:t>LINHAS</w:t>
      </w:r>
      <w:r>
        <w:rPr>
          <w:spacing w:val="-3"/>
        </w:rPr>
        <w:t> </w:t>
      </w:r>
      <w:r>
        <w:rPr/>
        <w:t>AÉREAS.</w:t>
      </w:r>
      <w:r>
        <w:rPr>
          <w:spacing w:val="-3"/>
        </w:rPr>
        <w:t> </w:t>
      </w:r>
      <w:r>
        <w:rPr/>
        <w:t>Política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Segurança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Informação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Terceiros.</w:t>
      </w:r>
      <w:r>
        <w:rPr>
          <w:spacing w:val="-3"/>
        </w:rPr>
        <w:t> </w:t>
      </w:r>
      <w:r>
        <w:rPr/>
        <w:t>Revisão</w:t>
      </w:r>
      <w:r>
        <w:rPr>
          <w:spacing w:val="-3"/>
        </w:rPr>
        <w:t> </w:t>
      </w:r>
      <w:r>
        <w:rPr/>
        <w:t>01,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jun.</w:t>
      </w:r>
      <w:r>
        <w:rPr>
          <w:spacing w:val="-3"/>
        </w:rPr>
        <w:t> </w:t>
      </w:r>
      <w:r>
        <w:rPr/>
        <w:t>2025. Disponível em: </w:t>
      </w:r>
      <w:hyperlink r:id="rId8">
        <w:r>
          <w:rPr>
            <w:color w:val="234D70"/>
            <w:u w:val="single" w:color="234D70"/>
          </w:rPr>
          <w:t>voegol.com.br — documento oficial</w:t>
        </w:r>
      </w:hyperlink>
      <w:r>
        <w:rPr/>
        <w:t>. Acesso em: 13 out. 2026.</w:t>
      </w:r>
    </w:p>
    <w:p>
      <w:pPr>
        <w:pStyle w:val="BodyText"/>
        <w:spacing w:line="252" w:lineRule="auto" w:before="242"/>
        <w:ind w:left="141" w:right="1919"/>
        <w:jc w:val="left"/>
      </w:pPr>
      <w:r>
        <w:rPr/>
        <w:t>AENA.</w:t>
      </w:r>
      <w:r>
        <w:rPr>
          <w:spacing w:val="-3"/>
        </w:rPr>
        <w:t> </w:t>
      </w:r>
      <w:r>
        <w:rPr/>
        <w:t>Política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Segurança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Informação.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aditivo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adesão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Aena</w:t>
      </w:r>
      <w:r>
        <w:rPr>
          <w:spacing w:val="-3"/>
        </w:rPr>
        <w:t> </w:t>
      </w:r>
      <w:r>
        <w:rPr/>
        <w:t>Brasil. Disponível em: </w:t>
      </w:r>
      <w:hyperlink r:id="rId9">
        <w:r>
          <w:rPr>
            <w:color w:val="234D70"/>
            <w:u w:val="single" w:color="234D70"/>
          </w:rPr>
          <w:t>aenabrasil.com.br — documento oficial</w:t>
        </w:r>
      </w:hyperlink>
      <w:r>
        <w:rPr/>
        <w:t>. Acesso em: 13 out. 2026.</w:t>
      </w:r>
    </w:p>
    <w:p>
      <w:pPr>
        <w:pStyle w:val="BodyText"/>
        <w:spacing w:line="252" w:lineRule="auto" w:before="242"/>
        <w:ind w:left="141" w:right="298"/>
        <w:jc w:val="left"/>
      </w:pPr>
      <w:r>
        <w:rPr/>
        <w:t>BRASIL.</w:t>
      </w:r>
      <w:r>
        <w:rPr>
          <w:spacing w:val="-2"/>
        </w:rPr>
        <w:t> </w:t>
      </w:r>
      <w:r>
        <w:rPr/>
        <w:t>Lei</w:t>
      </w:r>
      <w:r>
        <w:rPr>
          <w:spacing w:val="-2"/>
        </w:rPr>
        <w:t> </w:t>
      </w:r>
      <w:r>
        <w:rPr/>
        <w:t>nº</w:t>
      </w:r>
      <w:r>
        <w:rPr>
          <w:spacing w:val="-2"/>
        </w:rPr>
        <w:t> </w:t>
      </w:r>
      <w:r>
        <w:rPr/>
        <w:t>13.709,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14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agosto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2018.</w:t>
      </w:r>
      <w:r>
        <w:rPr>
          <w:spacing w:val="-2"/>
        </w:rPr>
        <w:t> </w:t>
      </w:r>
      <w:r>
        <w:rPr/>
        <w:t>Lei</w:t>
      </w:r>
      <w:r>
        <w:rPr>
          <w:spacing w:val="-2"/>
        </w:rPr>
        <w:t> </w:t>
      </w:r>
      <w:r>
        <w:rPr/>
        <w:t>Geral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Proteção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Dados</w:t>
      </w:r>
      <w:r>
        <w:rPr>
          <w:spacing w:val="-2"/>
        </w:rPr>
        <w:t> </w:t>
      </w:r>
      <w:r>
        <w:rPr/>
        <w:t>Pessoais</w:t>
      </w:r>
      <w:r>
        <w:rPr>
          <w:spacing w:val="-2"/>
        </w:rPr>
        <w:t> </w:t>
      </w:r>
      <w:r>
        <w:rPr/>
        <w:t>(LGPD).</w:t>
      </w:r>
      <w:r>
        <w:rPr>
          <w:spacing w:val="-2"/>
        </w:rPr>
        <w:t> </w:t>
      </w:r>
      <w:r>
        <w:rPr/>
        <w:t>Texto </w:t>
      </w:r>
      <w:r>
        <w:rPr>
          <w:spacing w:val="-2"/>
        </w:rPr>
        <w:t>atualizado.</w:t>
      </w:r>
    </w:p>
    <w:p>
      <w:pPr>
        <w:pStyle w:val="BodyText"/>
        <w:spacing w:before="1"/>
        <w:ind w:left="141" w:right="0"/>
        <w:jc w:val="left"/>
      </w:pPr>
      <w:r>
        <w:rPr/>
        <w:t>Disponível em: </w:t>
      </w:r>
      <w:hyperlink r:id="rId10">
        <w:r>
          <w:rPr>
            <w:color w:val="234D70"/>
            <w:u w:val="single" w:color="234D70"/>
          </w:rPr>
          <w:t>planalto.gov.br — texto oficial</w:t>
        </w:r>
      </w:hyperlink>
      <w:r>
        <w:rPr/>
        <w:t>. Acesso em: 13 out. </w:t>
      </w:r>
      <w:r>
        <w:rPr>
          <w:spacing w:val="-2"/>
        </w:rPr>
        <w:t>2026.</w:t>
      </w:r>
    </w:p>
    <w:p>
      <w:pPr>
        <w:pStyle w:val="BodyText"/>
        <w:spacing w:line="252" w:lineRule="auto" w:before="254"/>
        <w:ind w:left="141" w:right="1529"/>
        <w:jc w:val="left"/>
      </w:pPr>
      <w:r>
        <w:rPr/>
        <w:t>RTCA.</w:t>
      </w:r>
      <w:r>
        <w:rPr>
          <w:spacing w:val="-4"/>
        </w:rPr>
        <w:t> </w:t>
      </w:r>
      <w:r>
        <w:rPr/>
        <w:t>Security.</w:t>
      </w:r>
      <w:r>
        <w:rPr>
          <w:spacing w:val="-4"/>
        </w:rPr>
        <w:t> </w:t>
      </w:r>
      <w:r>
        <w:rPr/>
        <w:t>Descrição</w:t>
      </w:r>
      <w:r>
        <w:rPr>
          <w:spacing w:val="-4"/>
        </w:rPr>
        <w:t> </w:t>
      </w:r>
      <w:r>
        <w:rPr/>
        <w:t>pública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documentos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segurança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aeronavegabilidade. Disponível em: </w:t>
      </w:r>
      <w:hyperlink r:id="rId11">
        <w:r>
          <w:rPr>
            <w:color w:val="234D70"/>
            <w:u w:val="single" w:color="234D70"/>
          </w:rPr>
          <w:t>rtca.org — página oficial</w:t>
        </w:r>
      </w:hyperlink>
      <w:r>
        <w:rPr/>
        <w:t>. Acesso em: 13 out. 2026.</w:t>
      </w:r>
    </w:p>
    <w:p>
      <w:pPr>
        <w:pStyle w:val="BodyText"/>
        <w:spacing w:before="242"/>
        <w:ind w:left="141" w:right="0"/>
        <w:jc w:val="left"/>
      </w:pPr>
      <w:r>
        <w:rPr/>
        <w:t>ICAO. Guidance Material. Catálogo oficial de </w:t>
      </w:r>
      <w:r>
        <w:rPr>
          <w:spacing w:val="-2"/>
        </w:rPr>
        <w:t>manuais.</w:t>
      </w:r>
    </w:p>
    <w:p>
      <w:pPr>
        <w:pStyle w:val="BodyText"/>
        <w:spacing w:before="13"/>
        <w:ind w:left="141" w:right="0"/>
        <w:jc w:val="left"/>
      </w:pPr>
      <w:r>
        <w:rPr/>
        <w:t>Disponível em: </w:t>
      </w:r>
      <w:hyperlink r:id="rId12">
        <w:r>
          <w:rPr>
            <w:color w:val="234D70"/>
            <w:u w:val="single" w:color="234D70"/>
          </w:rPr>
          <w:t>icao.int — página oficial</w:t>
        </w:r>
      </w:hyperlink>
      <w:r>
        <w:rPr/>
        <w:t>. Acesso em: 13 out. </w:t>
      </w:r>
      <w:r>
        <w:rPr>
          <w:spacing w:val="-2"/>
        </w:rPr>
        <w:t>2026.</w:t>
      </w:r>
    </w:p>
    <w:sectPr>
      <w:pgSz w:w="11910" w:h="16840"/>
      <w:pgMar w:header="0" w:footer="334" w:top="1120" w:bottom="5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 w:righ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968">
              <wp:simplePos x="0" y="0"/>
              <wp:positionH relativeFrom="page">
                <wp:posOffset>5493800</wp:posOffset>
              </wp:positionH>
              <wp:positionV relativeFrom="page">
                <wp:posOffset>10315099</wp:posOffset>
              </wp:positionV>
              <wp:extent cx="1473200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7320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AeroLog | PSI | Uso interno |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2.582703pt;margin-top:812.212585pt;width:116pt;height:10pt;mso-position-horizontal-relative:page;mso-position-vertical-relative:page;z-index:-15872512" type="#_x0000_t202" id="docshape1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AeroLog | PSI | Uso interno |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13" w:hanging="23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70" w:hanging="23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20" w:hanging="23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70" w:hanging="2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20" w:hanging="2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0" w:hanging="2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0" w:hanging="2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71" w:hanging="2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21" w:hanging="23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41" w:hanging="30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3" w:hanging="36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13" w:hanging="23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77" w:hanging="2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55" w:hanging="2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33" w:hanging="2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10" w:hanging="2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88" w:hanging="2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66" w:hanging="231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22"/>
      <w:ind w:left="413" w:right="139"/>
      <w:jc w:val="both"/>
    </w:pPr>
    <w:rPr>
      <w:rFonts w:ascii="Calibri" w:hAnsi="Calibri" w:eastAsia="Calibri" w:cs="Calibri"/>
      <w:sz w:val="21"/>
      <w:szCs w:val="21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" w:right="1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0"/>
      <w:ind w:left="441" w:hanging="300"/>
      <w:outlineLvl w:val="2"/>
    </w:pPr>
    <w:rPr>
      <w:rFonts w:ascii="Calibri" w:hAnsi="Calibri" w:eastAsia="Calibri" w:cs="Calibri"/>
      <w:b/>
      <w:bCs/>
      <w:sz w:val="30"/>
      <w:szCs w:val="30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85"/>
      <w:ind w:right="1"/>
      <w:jc w:val="center"/>
      <w:outlineLvl w:val="3"/>
    </w:pPr>
    <w:rPr>
      <w:rFonts w:ascii="Calibri" w:hAnsi="Calibri" w:eastAsia="Calibri" w:cs="Calibri"/>
      <w:i/>
      <w:iCs/>
      <w:sz w:val="26"/>
      <w:szCs w:val="26"/>
      <w:lang w:val="pt-PT" w:eastAsia="en-US" w:bidi="ar-SA"/>
    </w:rPr>
  </w:style>
  <w:style w:styleId="Heading4" w:type="paragraph">
    <w:name w:val="Heading 4"/>
    <w:basedOn w:val="Normal"/>
    <w:uiPriority w:val="1"/>
    <w:qFormat/>
    <w:pPr>
      <w:spacing w:before="245"/>
      <w:ind w:left="502" w:hanging="361"/>
      <w:jc w:val="both"/>
      <w:outlineLvl w:val="4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22"/>
      <w:ind w:left="413" w:right="139" w:hanging="204"/>
      <w:jc w:val="both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94"/>
      <w:ind w:left="100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hyperlink" Target="https://www.gov.br/governodigital/pt-br/privacidade-e-seguranca/ppsi-2.0/arquivos/modelo-de-politica-de-seguranca-da-informacao-v1-0-14mai2026.pdf" TargetMode="External"/><Relationship Id="rId8" Type="http://schemas.openxmlformats.org/officeDocument/2006/relationships/hyperlink" Target="https://static.voegol.com.br/voegol/2025-06-27/PO-DTI-SC-003-Pol%C3%ADtica%20de%20Seguran%C3%A7a%20da%20Informa%C3%A7%C3%A3o%20para%20Terceiro_r01.pdf" TargetMode="External"/><Relationship Id="rId9" Type="http://schemas.openxmlformats.org/officeDocument/2006/relationships/hyperlink" Target="https://www.aenabrasil.com.br/sites/Satellite?blobcol=urldata&amp;blobkey=id&amp;blobtable=MungoBlobs&amp;blobwhere=1576863113268&amp;ssbinary=true" TargetMode="External"/><Relationship Id="rId10" Type="http://schemas.openxmlformats.org/officeDocument/2006/relationships/hyperlink" Target="https://www.planalto.gov.br/ccivil_03/_ato2015-2018/2018/lei/l13709.htm" TargetMode="External"/><Relationship Id="rId11" Type="http://schemas.openxmlformats.org/officeDocument/2006/relationships/hyperlink" Target="https://www.rtca.org/security/" TargetMode="External"/><Relationship Id="rId12" Type="http://schemas.openxmlformats.org/officeDocument/2006/relationships/hyperlink" Target="https://www.icao.int/safety-management/guidance-material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Gestão de Segurança da Informação</dc:creator>
  <dc:subject>(unspecified)</dc:subject>
  <dc:title>Política de Segurança da Informação da AeroLog</dc:title>
  <dcterms:created xsi:type="dcterms:W3CDTF">2026-10-13T16:20:43Z</dcterms:created>
  <dcterms:modified xsi:type="dcterms:W3CDTF">2026-10-13T16:20:43Z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2026-10-13T00:00:00Z</vt:filetime>
  </property>
  <property fmtid="{D5CDD505-2E9C-101B-9397-08002B2CF9AE}" pid="6" name="Producer">
    <vt:lpwstr>ReportLab PDF Library - (opensource)</vt:lpwstr>
  </property>
</Properties>
</file>