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428108"/>
            <wp:docPr id="1" name="Picture 1" descr="Logotipo UNIPAM do documento acadêmico de referênci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2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b/>
          <w:sz w:val="26"/>
        </w:rPr>
        <w:t>UNIPAM</w:t>
      </w:r>
    </w:p>
    <w:p>
      <w:pPr>
        <w:spacing w:before="0" w:after="80"/>
        <w:jc w:val="center"/>
      </w:pPr>
      <w:r>
        <w:rPr>
          <w:b/>
          <w:sz w:val="24"/>
        </w:rPr>
        <w:t>CURSO DE SISTEMAS DE INFORMAÇÃO</w:t>
      </w:r>
    </w:p>
    <w:p>
      <w:pPr>
        <w:spacing w:before="0" w:after="80"/>
        <w:jc w:val="center"/>
      </w:pPr>
      <w:r>
        <w:rPr>
          <w:b w:val="0"/>
          <w:sz w:val="24"/>
        </w:rPr>
        <w:t>Auditoria e Segurança de Sistemas</w:t>
      </w:r>
    </w:p>
    <w:p>
      <w:pPr>
        <w:spacing w:before="0" w:after="0"/>
        <w:jc w:val="center"/>
      </w:pPr>
      <w:r>
        <w:rPr>
          <w:b w:val="0"/>
          <w:sz w:val="21"/>
        </w:rPr>
        <w:t>Turma / período: [preencher]</w:t>
      </w:r>
    </w:p>
    <w:p>
      <w:pPr>
        <w:spacing w:before="640" w:after="160"/>
        <w:jc w:val="center"/>
      </w:pPr>
      <w:r>
        <w:rPr>
          <w:b/>
          <w:sz w:val="22"/>
        </w:rPr>
        <w:t>EQUIPE</w:t>
      </w:r>
    </w:p>
    <w:p>
      <w:pPr>
        <w:spacing w:before="0" w:after="0"/>
        <w:jc w:val="center"/>
      </w:pPr>
      <w:r>
        <w:rPr>
          <w:b w:val="0"/>
          <w:sz w:val="24"/>
        </w:rPr>
        <w:t>Arthur • Isadora • Caio</w:t>
        <w:br/>
        <w:t>Higor • Sabrina • Gustavo</w:t>
      </w:r>
    </w:p>
    <w:p>
      <w:pPr>
        <w:pStyle w:val="Title"/>
        <w:spacing w:before="1160" w:after="180"/>
        <w:jc w:val="center"/>
      </w:pPr>
      <w:r>
        <w:t>Política de Segurança da Informação</w:t>
      </w:r>
    </w:p>
    <w:p>
      <w:pPr>
        <w:pStyle w:val="Subtitle"/>
        <w:spacing w:before="0" w:after="140"/>
        <w:jc w:val="center"/>
      </w:pPr>
      <w:r>
        <w:t>AeroLog Transportes Aéreos</w:t>
      </w:r>
    </w:p>
    <w:p>
      <w:pPr>
        <w:spacing w:before="0" w:after="0"/>
        <w:jc w:val="center"/>
      </w:pPr>
      <w:r>
        <w:rPr>
          <w:b w:val="0"/>
          <w:sz w:val="22"/>
        </w:rPr>
        <w:t>PSI — Modelo base editável</w:t>
      </w:r>
    </w:p>
    <w:p>
      <w:pPr>
        <w:spacing w:before="2400" w:after="80"/>
        <w:jc w:val="center"/>
      </w:pPr>
      <w:r>
        <w:rPr>
          <w:b w:val="0"/>
          <w:sz w:val="22"/>
        </w:rPr>
        <w:t>[Cidade]</w:t>
      </w:r>
    </w:p>
    <w:p>
      <w:pPr>
        <w:spacing w:before="0" w:after="0"/>
        <w:jc w:val="center"/>
      </w:pPr>
      <w:r>
        <w:rPr>
          <w:b w:val="0"/>
          <w:sz w:val="22"/>
        </w:rPr>
        <w:t>2026</w:t>
      </w:r>
    </w:p>
    <w:p>
      <w:pPr>
        <w:pageBreakBefore/>
        <w:spacing w:before="0" w:after="0"/>
        <w:jc w:val="center"/>
      </w:pPr>
      <w:r>
        <w:rPr>
          <w:b w:val="0"/>
          <w:sz w:val="24"/>
        </w:rPr>
        <w:t>Arthur • Isadora • Caio</w:t>
        <w:br/>
        <w:t>Higor • Sabrina • Gustavo</w:t>
      </w:r>
    </w:p>
    <w:p>
      <w:pPr>
        <w:pStyle w:val="Title"/>
        <w:spacing w:before="1700" w:after="180"/>
        <w:jc w:val="center"/>
      </w:pPr>
      <w:r>
        <w:t>Política de Segurança da Informação</w:t>
      </w:r>
    </w:p>
    <w:p>
      <w:pPr>
        <w:pStyle w:val="Subtitle"/>
        <w:spacing w:before="0" w:after="800"/>
        <w:jc w:val="center"/>
      </w:pPr>
      <w:r>
        <w:t>AeroLog Transportes Aéreos</w:t>
      </w:r>
    </w:p>
    <w:p>
      <w:pPr>
        <w:spacing w:after="240"/>
        <w:ind w:left="4252"/>
      </w:pPr>
      <w:r>
        <w:t>Modelo base elaborado para a atividade de Auditoria e Segurança de Sistemas, do curso de Sistemas de Informação da UNIPAM, referente ao estudo de caso da AeroLog Transportes Aéreos.</w:t>
      </w:r>
    </w:p>
    <w:p>
      <w:pPr>
        <w:ind w:left="4252"/>
      </w:pPr>
      <w:r>
        <w:t>Professor(a): [preencher]</w:t>
      </w:r>
    </w:p>
    <w:p>
      <w:pPr>
        <w:ind w:left="4252"/>
      </w:pPr>
      <w:r>
        <w:t>Turma / período: [preencher]</w:t>
      </w:r>
    </w:p>
    <w:p>
      <w:pPr>
        <w:ind w:left="4252"/>
      </w:pPr>
      <w:r>
        <w:t>Data de entrega: [preencher]</w:t>
      </w:r>
    </w:p>
    <w:p>
      <w:pPr>
        <w:spacing w:before="600" w:after="120"/>
        <w:jc w:val="center"/>
      </w:pPr>
      <w:r>
        <w:rPr>
          <w:b w:val="0"/>
          <w:sz w:val="21"/>
        </w:rPr>
        <w:t>Elaboração principal: Arthur e Isadora</w:t>
      </w:r>
    </w:p>
    <w:p>
      <w:pPr>
        <w:spacing w:before="0" w:after="120"/>
        <w:jc w:val="center"/>
      </w:pPr>
      <w:r>
        <w:rPr>
          <w:b w:val="0"/>
          <w:sz w:val="21"/>
        </w:rPr>
        <w:t>Revisão e integração: os seis integrantes</w:t>
      </w:r>
    </w:p>
    <w:p>
      <w:pPr>
        <w:spacing w:before="1960" w:after="80"/>
        <w:jc w:val="center"/>
      </w:pPr>
      <w:r>
        <w:rPr>
          <w:b w:val="0"/>
          <w:sz w:val="22"/>
        </w:rPr>
        <w:t>[Cidade]</w:t>
      </w:r>
    </w:p>
    <w:p>
      <w:pPr>
        <w:spacing w:before="0" w:after="0"/>
        <w:jc w:val="center"/>
      </w:pPr>
      <w:r>
        <w:rPr>
          <w:b w:val="0"/>
          <w:sz w:val="22"/>
        </w:rPr>
        <w:t>2026</w:t>
      </w:r>
    </w:p>
    <w:p>
      <w:pPr>
        <w:sectPr>
          <w:headerReference w:type="default" r:id="rId7"/>
          <w:footerReference w:type="default" r:id="rId10"/>
          <w:headerReference w:type="first" r:id="rId11"/>
          <w:footerReference w:type="first" r:id="rId12"/>
          <w:headerReference w:type="even" r:id="rId13"/>
          <w:footerReference w:type="even" r:id="rId14"/>
          <w:pgSz w:w="11906" w:h="16838"/>
          <w:pgMar w:top="1020" w:right="1134" w:bottom="1020" w:left="1134" w:header="397" w:footer="454" w:gutter="0"/>
          <w:cols w:space="720"/>
        </w:sectPr>
      </w:pPr>
    </w:p>
    <w:p>
      <w:pPr>
        <w:pStyle w:val="Subtitle"/>
      </w:pPr>
      <w:r>
        <w:rPr>
          <w:b/>
        </w:rPr>
        <w:t>Orientações para a equipe</w:t>
      </w:r>
    </w:p>
    <w:p>
      <w:pPr>
        <w:pStyle w:val="Orientação"/>
      </w:pPr>
      <w:r>
        <w:rPr>
          <w:b/>
        </w:rPr>
        <w:t xml:space="preserve">Finalidade deste arquivo: </w:t>
      </w:r>
      <w:r>
        <w:t>Oferecer uma base para a dupla começar a escrever, com contexto, textos iniciais e tabelas. As escolhas ainda em aberto aparecem entre colchetes. Este modelo não representa uma política aprovada nem um plano já implantado na AeroLog.</w:t>
      </w:r>
    </w:p>
    <w:p>
      <w:pPr>
        <w:pStyle w:val="Orientação"/>
      </w:pPr>
      <w:r>
        <w:rPr>
          <w:b/>
        </w:rPr>
        <w:t xml:space="preserve">Como usar: </w:t>
      </w:r>
      <w:r>
        <w:t>Leia a orientação da seção, adapte o texto inicial e complete os campos. Confirme com a outra dupla as decisões que afetarem mais de um documento. Na versão de entrega, retire as instruções de elaboração e preserve o conteúdo final, as referências e as premissas adotadas.</w:t>
      </w:r>
    </w:p>
    <w:p>
      <w:pPr>
        <w:pStyle w:val="Orientação"/>
      </w:pPr>
      <w:r>
        <w:rPr>
          <w:b/>
        </w:rPr>
        <w:t xml:space="preserve">FATO DO ESTUDO DE CASO: </w:t>
      </w:r>
      <w:r>
        <w:t>Informação explícita no PDF. Um requisito do enunciado, como propor backup offline, não prova que esse recurso já exista.</w:t>
      </w:r>
    </w:p>
    <w:p>
      <w:pPr>
        <w:pStyle w:val="Orientação"/>
      </w:pPr>
      <w:r>
        <w:rPr>
          <w:b/>
        </w:rPr>
        <w:t xml:space="preserve">PREMISSA ACADÊMICA: </w:t>
      </w:r>
      <w:r>
        <w:t>Escolha feita para construir a atividade, como frequência, responsável organizacional ou recurso de contingência. Os exemplos de controles são propostas para avaliação do grupo.</w:t>
      </w:r>
    </w:p>
    <w:p>
      <w:pPr>
        <w:pStyle w:val="Orientação"/>
      </w:pPr>
      <w:r>
        <w:rPr>
          <w:b/>
        </w:rPr>
        <w:t xml:space="preserve">REFERÊNCIA EXTERNA: </w:t>
      </w:r>
      <w:r>
        <w:t>Documento real usado para apoiar conceitos, organização ou linguagem. Seus cargos, ferramentas e prazos não se tornam automaticamente os da AeroLog.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Quem escreve</w:t>
            </w:r>
          </w:p>
        </w:tc>
        <w:tc>
          <w:tcPr>
            <w:tcW w:type="dxa" w:w="7370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Partes sob responsabilidade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Arthur</w:t>
            </w:r>
          </w:p>
        </w:tc>
        <w:tc>
          <w:tcPr>
            <w:tcW w:type="dxa" w:w="737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1, 2, 3, 4.1, 4.2, 4.4 e 5.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Isadora</w:t>
            </w:r>
          </w:p>
        </w:tc>
        <w:tc>
          <w:tcPr>
            <w:tcW w:type="dxa" w:w="7370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4.3, 4.5, 4.6, 4.7, 4.8 e 6.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Arthur e Isadora</w:t>
            </w:r>
          </w:p>
        </w:tc>
        <w:tc>
          <w:tcPr>
            <w:tcW w:type="dxa" w:w="737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Abertura da seção 4 e revisão conjunta da PSI.</w:t>
            </w:r>
          </w:p>
        </w:tc>
      </w:tr>
    </w:tbl>
    <w:p>
      <w:pPr>
        <w:spacing w:after="20"/>
      </w:pPr>
    </w:p>
    <w:p>
      <w:pPr>
        <w:pStyle w:val="Orientação"/>
      </w:pPr>
      <w:r>
        <w:rPr>
          <w:b/>
        </w:rPr>
        <w:t xml:space="preserve">Integração entre os documentos: </w:t>
      </w:r>
      <w:r>
        <w:t>Arthur e Isadora definem as regras na PSI. Caio organiza e avalia os riscos; Higor propõe os tratamentos na PGR. Sabrina e Gustavo usam esses mesmos riscos e controles para elaborar o PCN.</w:t>
      </w:r>
    </w:p>
    <w:p>
      <w:pPr>
        <w:pStyle w:val="Orientação"/>
      </w:pPr>
      <w:r>
        <w:rPr>
          <w:b/>
        </w:rPr>
        <w:t xml:space="preserve">Responsáveis da empresa: </w:t>
      </w:r>
      <w:r>
        <w:t>Quando uma tabela pedir “responsável”, use a função da AeroLog, como TI ou gestor da área. Os nomes dos alunos identificam apenas a autoria acadêmica.</w:t>
      </w:r>
    </w:p>
    <w:p>
      <w:pPr>
        <w:pStyle w:val="Orientação"/>
      </w:pPr>
      <w:r>
        <w:rPr>
          <w:b/>
        </w:rPr>
        <w:t xml:space="preserve">Dados acadêmicos: </w:t>
      </w:r>
      <w:r>
        <w:t>Instituição e curso seguem o exemplo enviado; a disciplina foi informada pelo grupo. Completar professor, turma/período, cidade, data de entrega e nomes completos, se a instituição exigir.</w:t>
      </w:r>
    </w:p>
    <w:p>
      <w:pPr>
        <w:pStyle w:val="Orientação"/>
      </w:pPr>
      <w:r>
        <w:rPr>
          <w:b/>
        </w:rPr>
        <w:t xml:space="preserve">Controle do modelo: </w:t>
      </w:r>
      <w:r>
        <w:t>Versão 0.2 | 08/10/2026 | Guardar os prompts para o documento adicional solicitado no enunciado.</w:t>
      </w:r>
    </w:p>
    <w:p>
      <w:pPr>
        <w:pStyle w:val="Ttulo1"/>
        <w:pageBreakBefore/>
      </w:pPr>
      <w:r>
        <w:t>1. Objetivo</w:t>
      </w:r>
    </w:p>
    <w:p>
      <w:pPr>
        <w:pStyle w:val="Orientação"/>
      </w:pPr>
      <w:r>
        <w:rPr>
          <w:b/>
        </w:rPr>
        <w:t xml:space="preserve">Quem escreve: </w:t>
      </w:r>
      <w:r>
        <w:t>Arthur</w:t>
      </w:r>
    </w:p>
    <w:p>
      <w:pPr>
        <w:pStyle w:val="Orientação"/>
      </w:pPr>
      <w:r>
        <w:rPr>
          <w:b/>
        </w:rPr>
        <w:t xml:space="preserve">Objetivo da seção: </w:t>
      </w:r>
      <w:r>
        <w:t>Apresentar o propósito da política em um parágrafo curto.</w:t>
      </w:r>
    </w:p>
    <w:p>
      <w:pPr>
        <w:pStyle w:val="Orientação"/>
      </w:pPr>
      <w:r>
        <w:rPr>
          <w:b/>
        </w:rPr>
        <w:t xml:space="preserve">O que escrever: </w:t>
      </w:r>
      <w:r>
        <w:t>Indique o que deve ser protegido e a relação da segurança da informação com os serviços da empresa.</w:t>
      </w:r>
    </w:p>
    <w:p>
      <w:pPr>
        <w:pStyle w:val="Orientação"/>
      </w:pPr>
      <w:r>
        <w:rPr>
          <w:b/>
        </w:rPr>
        <w:t xml:space="preserve">Fato do estudo de caso: </w:t>
      </w:r>
      <w:r>
        <w:t>A AeroLog transporta cargas e passageiros; seus sistemas de controle e reservas são alvo de DDoS e tentativas de fraude.</w:t>
      </w:r>
    </w:p>
    <w:p>
      <w:pPr>
        <w:pStyle w:val="Orientação"/>
      </w:pPr>
      <w:r>
        <w:rPr>
          <w:b/>
        </w:rPr>
        <w:t xml:space="preserve">Referências que podem ajudar: </w:t>
      </w:r>
      <w:r>
        <w:t>PPSI 2.0 e Aena, para finalidade e linguagem de política.</w:t>
      </w:r>
    </w:p>
    <w:p>
      <w:pPr>
        <w:pStyle w:val="Orientação"/>
      </w:pPr>
      <w:r>
        <w:rPr>
          <w:b/>
        </w:rPr>
        <w:t xml:space="preserve">Texto inicial para adaptar: </w:t>
      </w:r>
      <w:r>
        <w:t>Esta política estabelece diretrizes para proteger as informações e os sistemas da AeroLog, incluindo dados de passageiros, reservas e sistemas críticos das operações aéreas.</w:t>
      </w:r>
    </w:p>
    <w:p>
      <w:pPr>
        <w:pStyle w:val="Campoeditável"/>
      </w:pPr>
      <w:r>
        <w:rPr>
          <w:b/>
        </w:rPr>
        <w:t xml:space="preserve">Completar pela equipe: </w:t>
      </w:r>
      <w:r>
        <w:t>[Adaptar o início e concluir o objetivo em um parágrafo.]</w:t>
      </w:r>
    </w:p>
    <w:p>
      <w:pPr>
        <w:pStyle w:val="Ttulo1"/>
      </w:pPr>
      <w:r>
        <w:t>2. Escopo</w:t>
      </w:r>
    </w:p>
    <w:p>
      <w:pPr>
        <w:pStyle w:val="Orientação"/>
      </w:pPr>
      <w:r>
        <w:rPr>
          <w:b/>
        </w:rPr>
        <w:t xml:space="preserve">Quem escreve: </w:t>
      </w:r>
      <w:r>
        <w:t>Arthur</w:t>
      </w:r>
    </w:p>
    <w:p>
      <w:pPr>
        <w:pStyle w:val="Orientação"/>
      </w:pPr>
      <w:r>
        <w:rPr>
          <w:b/>
        </w:rPr>
        <w:t xml:space="preserve">Objetivo da seção: </w:t>
      </w:r>
      <w:r>
        <w:t>Delimitar as pessoas, informações e recursos abrangidos.</w:t>
      </w:r>
    </w:p>
    <w:p>
      <w:pPr>
        <w:pStyle w:val="Orientação"/>
      </w:pPr>
      <w:r>
        <w:rPr>
          <w:b/>
        </w:rPr>
        <w:t xml:space="preserve">O que escrever: </w:t>
      </w:r>
      <w:r>
        <w:t>Inclua colaboradores, TI e fornecedores no contexto de seus acessos; cite servidores, reservas, sistemas embarcados e dados pessoais. Não crie unidades ou plataformas não informadas.</w:t>
      </w:r>
    </w:p>
    <w:p>
      <w:pPr>
        <w:pStyle w:val="Orientação"/>
      </w:pPr>
      <w:r>
        <w:rPr>
          <w:b/>
        </w:rPr>
        <w:t xml:space="preserve">Fato do estudo de caso: </w:t>
      </w:r>
      <w:r>
        <w:t>São 1.100 funcionários, 20 cidades atendidas, 50 servidores locais, TI própria e contratos internacionais de suporte de software de navegação.</w:t>
      </w:r>
    </w:p>
    <w:p>
      <w:pPr>
        <w:pStyle w:val="Orientação"/>
      </w:pPr>
      <w:r>
        <w:rPr>
          <w:b/>
        </w:rPr>
        <w:t xml:space="preserve">Referências que podem ajudar: </w:t>
      </w:r>
      <w:r>
        <w:t>PPSI 2.0 e Aena, para delimitação de alcance.</w:t>
      </w:r>
    </w:p>
    <w:p>
      <w:pPr>
        <w:pStyle w:val="Orientação"/>
      </w:pPr>
      <w:r>
        <w:rPr>
          <w:b/>
        </w:rPr>
        <w:t xml:space="preserve">Texto inicial para adaptar: </w:t>
      </w:r>
      <w:r>
        <w:t>Esta política aplica-se aos colaboradores e terceiros que utilizem ou tenham acesso às informações e aos sistemas da AeroLog no exercício de suas atividades.</w:t>
      </w:r>
    </w:p>
    <w:p>
      <w:pPr>
        <w:pStyle w:val="Campoeditável"/>
      </w:pPr>
      <w:r>
        <w:rPr>
          <w:b/>
        </w:rPr>
        <w:t xml:space="preserve">Completar pela equipe: </w:t>
      </w:r>
      <w:r>
        <w:t>[Completar os ativos e públicos abrangidos, com a mesma nomenclatura da PGR e do PCN.]</w:t>
      </w:r>
    </w:p>
    <w:p>
      <w:pPr>
        <w:pStyle w:val="Ttulo1"/>
      </w:pPr>
      <w:r>
        <w:t>3. Princípios de Segurança da Informação</w:t>
      </w:r>
    </w:p>
    <w:p>
      <w:pPr>
        <w:pStyle w:val="Orientação"/>
      </w:pPr>
      <w:r>
        <w:rPr>
          <w:b/>
        </w:rPr>
        <w:t xml:space="preserve">Quem escreve: </w:t>
      </w:r>
      <w:r>
        <w:t>Arthur</w:t>
      </w:r>
    </w:p>
    <w:p>
      <w:pPr>
        <w:pStyle w:val="Orientação"/>
      </w:pPr>
      <w:r>
        <w:rPr>
          <w:b/>
        </w:rPr>
        <w:t xml:space="preserve">Objetivo da seção: </w:t>
      </w:r>
      <w:r>
        <w:t>Definir os princípios que orientarão as regras da PSI.</w:t>
      </w:r>
    </w:p>
    <w:p>
      <w:pPr>
        <w:pStyle w:val="Orientação"/>
      </w:pPr>
      <w:r>
        <w:rPr>
          <w:b/>
        </w:rPr>
        <w:t xml:space="preserve">O que escrever: </w:t>
      </w:r>
      <w:r>
        <w:t>Explique brevemente confidencialidade, integridade, disponibilidade, autenticidade, menor privilégio, necessidade de acesso e proteção de dados pessoais. Pode usar uma frase por princípio.</w:t>
      </w:r>
    </w:p>
    <w:p>
      <w:pPr>
        <w:pStyle w:val="Orientação"/>
      </w:pPr>
      <w:r>
        <w:rPr>
          <w:b/>
        </w:rPr>
        <w:t xml:space="preserve">Fato do estudo de caso: </w:t>
      </w:r>
      <w:r>
        <w:t>O caso envolve dados de passageiros, tentativas de fraude, ameaças de DDoS e sistemas críticos embarcados.</w:t>
      </w:r>
    </w:p>
    <w:p>
      <w:pPr>
        <w:pStyle w:val="Orientação"/>
      </w:pPr>
      <w:r>
        <w:rPr>
          <w:b/>
        </w:rPr>
        <w:t xml:space="preserve">Referências que podem ajudar: </w:t>
      </w:r>
      <w:r>
        <w:t>Aena, para princípios; LGPD, para proteção de dados pessoais.</w:t>
      </w:r>
    </w:p>
    <w:p>
      <w:pPr>
        <w:pStyle w:val="Orientação"/>
      </w:pPr>
      <w:r>
        <w:rPr>
          <w:b/>
        </w:rPr>
        <w:t xml:space="preserve">Texto inicial para adaptar: </w:t>
      </w:r>
      <w:r>
        <w:t>A confidencialidade orienta a restrição de acesso às informações; a integridade orienta sua proteção contra alterações indevidas; a disponibilidade orienta seu acesso pelos usuários autorizados quando necessário.</w:t>
      </w:r>
    </w:p>
    <w:p>
      <w:pPr>
        <w:pStyle w:val="Campoeditável"/>
      </w:pPr>
      <w:r>
        <w:rPr>
          <w:b/>
        </w:rPr>
        <w:t xml:space="preserve">Completar pela equipe: </w:t>
      </w:r>
      <w:r>
        <w:t>[Completar os demais princípios e relacioná-los ao contexto do caso, sem detalhar controles.]</w:t>
      </w:r>
    </w:p>
    <w:p>
      <w:pPr>
        <w:pStyle w:val="Ttulo1"/>
        <w:pageBreakBefore/>
      </w:pPr>
      <w:r>
        <w:t>4. Diretrizes de Segurança</w:t>
      </w:r>
    </w:p>
    <w:p>
      <w:pPr>
        <w:pStyle w:val="Orientação"/>
      </w:pPr>
      <w:r>
        <w:rPr>
          <w:b/>
        </w:rPr>
        <w:t xml:space="preserve">Objetivo da seção: </w:t>
      </w:r>
      <w:r>
        <w:t>Reunir as regras gerais nos oito subtópicos definidos pelo guia.</w:t>
      </w:r>
    </w:p>
    <w:p>
      <w:pPr>
        <w:pStyle w:val="Orientação"/>
      </w:pPr>
      <w:r>
        <w:rPr>
          <w:b/>
        </w:rPr>
        <w:t xml:space="preserve">O que escrever: </w:t>
      </w:r>
      <w:r>
        <w:t>Use regras claras, como “deve ser autorizado” e “deve ser registrado”. Controles escolhidos pelo grupo são propostas acadêmicas, não recursos existentes confirmados.</w:t>
      </w:r>
    </w:p>
    <w:p>
      <w:pPr>
        <w:pStyle w:val="Orientação"/>
      </w:pPr>
      <w:r>
        <w:rPr>
          <w:b/>
        </w:rPr>
        <w:t xml:space="preserve">Fato do estudo de caso: </w:t>
      </w:r>
      <w:r>
        <w:t>Reservas, sistemas embarcados, suporte externo e treinamento são temas expressos no caso.</w:t>
      </w:r>
    </w:p>
    <w:p>
      <w:pPr>
        <w:pStyle w:val="Orientação"/>
      </w:pPr>
      <w:r>
        <w:rPr>
          <w:b/>
        </w:rPr>
        <w:t xml:space="preserve">Referências que podem ajudar: </w:t>
      </w:r>
      <w:r>
        <w:t>PPSI 2.0, para organização; GOL, para exemplos de requisitos de terceiros.</w:t>
      </w:r>
    </w:p>
    <w:p>
      <w:pPr>
        <w:pStyle w:val="Orientação"/>
      </w:pPr>
      <w:r>
        <w:rPr>
          <w:b/>
        </w:rPr>
        <w:t xml:space="preserve">Texto inicial para adaptar: </w:t>
      </w:r>
      <w:r>
        <w:t>As diretrizes a seguir orientam a proteção dos ativos e devem ser consideradas na avaliação de riscos e na continuidade dos serviços.</w:t>
      </w:r>
    </w:p>
    <w:p>
      <w:pPr>
        <w:pStyle w:val="Campoeditável"/>
      </w:pPr>
      <w:r>
        <w:rPr>
          <w:b/>
        </w:rPr>
        <w:t xml:space="preserve">Completar pela equipe: </w:t>
      </w:r>
      <w:r>
        <w:t>[Validar este parágrafo de abertura em conjunto.]</w:t>
      </w:r>
    </w:p>
    <w:p>
      <w:pPr>
        <w:pStyle w:val="Ttulo2"/>
      </w:pPr>
      <w:r>
        <w:t>4.1 Controle de acesso</w:t>
      </w:r>
    </w:p>
    <w:p>
      <w:pPr>
        <w:pStyle w:val="Orientação"/>
      </w:pPr>
      <w:r>
        <w:rPr>
          <w:b/>
        </w:rPr>
        <w:t xml:space="preserve">Quem escreve: </w:t>
      </w:r>
      <w:r>
        <w:t>Arthur</w:t>
      </w:r>
    </w:p>
    <w:p>
      <w:pPr>
        <w:pStyle w:val="Orientação"/>
      </w:pPr>
      <w:r>
        <w:rPr>
          <w:b/>
        </w:rPr>
        <w:t xml:space="preserve">Objetivo da seção: </w:t>
      </w:r>
      <w:r>
        <w:t>Estabelecer regras para conceder, manter e retirar acessos.</w:t>
      </w:r>
    </w:p>
    <w:p>
      <w:pPr>
        <w:pStyle w:val="Orientação"/>
      </w:pPr>
      <w:r>
        <w:rPr>
          <w:b/>
        </w:rPr>
        <w:t xml:space="preserve">O que escrever: </w:t>
      </w:r>
      <w:r>
        <w:t>Preveja identificação individual, menor privilégio, aprovação, revisão de permissões e proteção de contas privilegiadas. Deixe a periodicidade para decisão do grupo.</w:t>
      </w:r>
    </w:p>
    <w:p>
      <w:pPr>
        <w:pStyle w:val="Orientação"/>
      </w:pPr>
      <w:r>
        <w:rPr>
          <w:b/>
        </w:rPr>
        <w:t xml:space="preserve">Fato do estudo de caso: </w:t>
      </w:r>
      <w:r>
        <w:t>Há equipe interna de TI, colaboradores de diferentes funções e suporte internacional de software de navegação.</w:t>
      </w:r>
    </w:p>
    <w:p>
      <w:pPr>
        <w:pStyle w:val="Orientação"/>
      </w:pPr>
      <w:r>
        <w:rPr>
          <w:b/>
        </w:rPr>
        <w:t xml:space="preserve">Referências que podem ajudar: </w:t>
      </w:r>
      <w:r>
        <w:t>GOL, gerenciamento de contas e acessos; PPSI 2.0.</w:t>
      </w:r>
    </w:p>
    <w:p>
      <w:pPr>
        <w:pStyle w:val="Orientação"/>
      </w:pPr>
      <w:r>
        <w:rPr>
          <w:b/>
        </w:rPr>
        <w:t xml:space="preserve">Alinhamento necessário: </w:t>
      </w:r>
      <w:r>
        <w:t>Alinhar com 4.4 e 5. A PGR detalhará os tratamentos que utilizam esses controles.</w:t>
      </w:r>
    </w:p>
    <w:p>
      <w:pPr>
        <w:pStyle w:val="Orientação"/>
      </w:pPr>
      <w:r>
        <w:rPr>
          <w:b/>
        </w:rPr>
        <w:t xml:space="preserve">Texto inicial para adaptar: </w:t>
      </w:r>
      <w:r>
        <w:t>Os acessos devem ser individualizados e limitados às atividades autorizadas. A concessão, a alteração e a revogação devem ser registradas.</w:t>
      </w:r>
    </w:p>
    <w:p>
      <w:pPr>
        <w:pStyle w:val="Campoeditável"/>
      </w:pPr>
      <w:r>
        <w:rPr>
          <w:b/>
        </w:rPr>
        <w:t xml:space="preserve">Completar pela equipe: </w:t>
      </w:r>
      <w:r>
        <w:t>[Completar aprovação, proteção de contas privilegiadas e revisão em periodicidade a definir.]</w:t>
      </w:r>
    </w:p>
    <w:p>
      <w:pPr>
        <w:pStyle w:val="Ttulo2"/>
      </w:pPr>
      <w:r>
        <w:t>4.2 Sistemas de reservas e dados de passageiros</w:t>
      </w:r>
    </w:p>
    <w:p>
      <w:pPr>
        <w:pStyle w:val="Orientação"/>
      </w:pPr>
      <w:r>
        <w:rPr>
          <w:b/>
        </w:rPr>
        <w:t xml:space="preserve">Quem escreve: </w:t>
      </w:r>
      <w:r>
        <w:t>Arthur</w:t>
      </w:r>
    </w:p>
    <w:p>
      <w:pPr>
        <w:pStyle w:val="Orientação"/>
      </w:pPr>
      <w:r>
        <w:rPr>
          <w:b/>
        </w:rPr>
        <w:t xml:space="preserve">Objetivo da seção: </w:t>
      </w:r>
      <w:r>
        <w:t>Orientar a proteção das reservas e das informações pessoais.</w:t>
      </w:r>
    </w:p>
    <w:p>
      <w:pPr>
        <w:pStyle w:val="Orientação"/>
      </w:pPr>
      <w:r>
        <w:rPr>
          <w:b/>
        </w:rPr>
        <w:t xml:space="preserve">O que escrever: </w:t>
      </w:r>
      <w:r>
        <w:t>Inclua prevenção de acesso indevido e fraude, monitoramento e proteção de dados pessoais. Trate a disponibilidade sem descrever a recuperação passo a passo.</w:t>
      </w:r>
    </w:p>
    <w:p>
      <w:pPr>
        <w:pStyle w:val="Orientação"/>
      </w:pPr>
      <w:r>
        <w:rPr>
          <w:b/>
        </w:rPr>
        <w:t xml:space="preserve">Fato do estudo de caso: </w:t>
      </w:r>
      <w:r>
        <w:t>O PDF menciona DDoS, tentativas de fraude e, como risco a analisar, emissão fraudulenta via GDS. Exige considerar a LGPD.</w:t>
      </w:r>
    </w:p>
    <w:p>
      <w:pPr>
        <w:pStyle w:val="Orientação"/>
      </w:pPr>
      <w:r>
        <w:rPr>
          <w:b/>
        </w:rPr>
        <w:t xml:space="preserve">Referências que podem ajudar: </w:t>
      </w:r>
      <w:r>
        <w:t>LGPD, arts. 6º e 46 a 48; GOL, proteção de dados e segurança nas operações.</w:t>
      </w:r>
    </w:p>
    <w:p>
      <w:pPr>
        <w:pStyle w:val="Orientação"/>
      </w:pPr>
      <w:r>
        <w:rPr>
          <w:b/>
        </w:rPr>
        <w:t xml:space="preserve">Alinhamento necessário: </w:t>
      </w:r>
      <w:r>
        <w:t>PGR: riscos de DDoS e fraude. PCN: continuidade das reservas. Validar os IDs antes de citá-los.</w:t>
      </w:r>
    </w:p>
    <w:p>
      <w:pPr>
        <w:pStyle w:val="Orientação"/>
      </w:pPr>
      <w:r>
        <w:rPr>
          <w:b/>
        </w:rPr>
        <w:t xml:space="preserve">Texto inicial para adaptar: </w:t>
      </w:r>
      <w:r>
        <w:t>O sistema de reservas deve contar com controles de acesso e acompanhamento de atividades suspeitas, considerando a proteção dos dados dos passageiros.</w:t>
      </w:r>
    </w:p>
    <w:p>
      <w:pPr>
        <w:pStyle w:val="Campoeditável"/>
      </w:pPr>
      <w:r>
        <w:rPr>
          <w:b/>
        </w:rPr>
        <w:t xml:space="preserve">Completar pela equipe: </w:t>
      </w:r>
      <w:r>
        <w:t>[Redigir as regras gerais e indicar quais medidas serão propostas pela equipe.]</w:t>
      </w:r>
    </w:p>
    <w:p>
      <w:pPr>
        <w:pStyle w:val="Ttulo2"/>
        <w:pageBreakBefore/>
      </w:pPr>
      <w:r>
        <w:t>4.3 Sistemas críticos e embarcados</w:t>
      </w:r>
    </w:p>
    <w:p>
      <w:pPr>
        <w:pStyle w:val="Orientação"/>
      </w:pPr>
      <w:r>
        <w:rPr>
          <w:b/>
        </w:rPr>
        <w:t xml:space="preserve">Quem escreve: </w:t>
      </w:r>
      <w:r>
        <w:t>Isadora</w:t>
      </w:r>
    </w:p>
    <w:p>
      <w:pPr>
        <w:pStyle w:val="Orientação"/>
      </w:pPr>
      <w:r>
        <w:rPr>
          <w:b/>
        </w:rPr>
        <w:t xml:space="preserve">Objetivo da seção: </w:t>
      </w:r>
      <w:r>
        <w:t>Estabelecer proteção compatível com a criticidade dos sistemas das aeronaves.</w:t>
      </w:r>
    </w:p>
    <w:p>
      <w:pPr>
        <w:pStyle w:val="Orientação"/>
      </w:pPr>
      <w:r>
        <w:rPr>
          <w:b/>
        </w:rPr>
        <w:t xml:space="preserve">O que escrever: </w:t>
      </w:r>
      <w:r>
        <w:t>Preveja acesso restrito, alterações autorizadas e rastreáveis, avaliação de atualizações e segregação quando aplicável. Vincule intervenções à avaliação das equipes técnicas competentes e à segurança operacional.</w:t>
      </w:r>
    </w:p>
    <w:p>
      <w:pPr>
        <w:pStyle w:val="Orientação"/>
      </w:pPr>
      <w:r>
        <w:rPr>
          <w:b/>
        </w:rPr>
        <w:t xml:space="preserve">Fato do estudo de caso: </w:t>
      </w:r>
      <w:r>
        <w:t>Existem sistemas críticos embarcados. O enunciado exige considerar a segurança do software embarcado e menciona DO-326A.</w:t>
      </w:r>
    </w:p>
    <w:p>
      <w:pPr>
        <w:pStyle w:val="Orientação"/>
      </w:pPr>
      <w:r>
        <w:rPr>
          <w:b/>
        </w:rPr>
        <w:t xml:space="preserve">Referências que podem ajudar: </w:t>
      </w:r>
      <w:r>
        <w:t>RTCA, descrição pública de DO-326A; Aena, princípios e proteção de ativos críticos. O texto integral de DO-326A não foi utilizado.</w:t>
      </w:r>
    </w:p>
    <w:p>
      <w:pPr>
        <w:pStyle w:val="Orientação"/>
      </w:pPr>
      <w:r>
        <w:rPr>
          <w:b/>
        </w:rPr>
        <w:t xml:space="preserve">Alinhamento necessário: </w:t>
      </w:r>
      <w:r>
        <w:t>PGR: riscos envolvendo sistemas embarcados e fornecedores. PCN: critérios de isolamento e retomada segura, sem inserir procedimentos de voo na PSI.</w:t>
      </w:r>
    </w:p>
    <w:p>
      <w:pPr>
        <w:pStyle w:val="Orientação"/>
      </w:pPr>
      <w:r>
        <w:rPr>
          <w:b/>
        </w:rPr>
        <w:t xml:space="preserve">Texto inicial para adaptar: </w:t>
      </w:r>
      <w:r>
        <w:t>As alterações em sistemas críticos e embarcados devem passar por avaliação técnica e autorização, com registro das intervenções e verificação de sua integridade.</w:t>
      </w:r>
    </w:p>
    <w:p>
      <w:pPr>
        <w:pStyle w:val="Campoeditável"/>
      </w:pPr>
      <w:r>
        <w:rPr>
          <w:b/>
        </w:rPr>
        <w:t xml:space="preserve">Completar pela equipe: </w:t>
      </w:r>
      <w:r>
        <w:t>[Completar regras e responsáveis propostos. Tratar os requisitos aeronáuticos conforme a validação prevista na seção 6.]</w:t>
      </w:r>
    </w:p>
    <w:p>
      <w:pPr>
        <w:pStyle w:val="Ttulo2"/>
      </w:pPr>
      <w:r>
        <w:t>4.4 Fornecedores e acesso remoto</w:t>
      </w:r>
    </w:p>
    <w:p>
      <w:pPr>
        <w:pStyle w:val="Orientação"/>
      </w:pPr>
      <w:r>
        <w:rPr>
          <w:b/>
        </w:rPr>
        <w:t xml:space="preserve">Quem escreve: </w:t>
      </w:r>
      <w:r>
        <w:t>Arthur</w:t>
      </w:r>
    </w:p>
    <w:p>
      <w:pPr>
        <w:pStyle w:val="Orientação"/>
      </w:pPr>
      <w:r>
        <w:rPr>
          <w:b/>
        </w:rPr>
        <w:t xml:space="preserve">Objetivo da seção: </w:t>
      </w:r>
      <w:r>
        <w:t>Definir condições de segurança para o suporte de terceiros.</w:t>
      </w:r>
    </w:p>
    <w:p>
      <w:pPr>
        <w:pStyle w:val="Orientação"/>
      </w:pPr>
      <w:r>
        <w:rPr>
          <w:b/>
        </w:rPr>
        <w:t xml:space="preserve">O que escrever: </w:t>
      </w:r>
      <w:r>
        <w:t>Preveja autorização formal, finalidade e duração do acesso, limitação de privilégios, registros e encerramento do acesso. Inclua requisitos contratuais de confidencialidade e comunicação de incidentes. Tecnologias específicas devem ser identificadas como propostas.</w:t>
      </w:r>
    </w:p>
    <w:p>
      <w:pPr>
        <w:pStyle w:val="Orientação"/>
      </w:pPr>
      <w:r>
        <w:rPr>
          <w:b/>
        </w:rPr>
        <w:t xml:space="preserve">Fato do estudo de caso: </w:t>
      </w:r>
      <w:r>
        <w:t>A AeroLog mantém contratos internacionais de suporte com fornecedores de software de navegação. O enunciado solicita controle de contratos e acesso remoto a sistemas críticos.</w:t>
      </w:r>
    </w:p>
    <w:p>
      <w:pPr>
        <w:pStyle w:val="Orientação"/>
      </w:pPr>
      <w:r>
        <w:rPr>
          <w:b/>
        </w:rPr>
        <w:t xml:space="preserve">Referências que podem ajudar: </w:t>
      </w:r>
      <w:r>
        <w:t>GOL, alcance, responsabilidades de terceiros e gerenciamento de acessos.</w:t>
      </w:r>
    </w:p>
    <w:p>
      <w:pPr>
        <w:pStyle w:val="Orientação"/>
      </w:pPr>
      <w:r>
        <w:rPr>
          <w:b/>
        </w:rPr>
        <w:t xml:space="preserve">Alinhamento necessário: </w:t>
      </w:r>
      <w:r>
        <w:t>Aplicar 4.1 sem repetir suas regras. Usar na PGR o mesmo tratamento de acesso remoto e, no PCN, os mesmos responsáveis por sua suspensão.</w:t>
      </w:r>
    </w:p>
    <w:p>
      <w:pPr>
        <w:pStyle w:val="Orientação"/>
      </w:pPr>
      <w:r>
        <w:rPr>
          <w:b/>
        </w:rPr>
        <w:t xml:space="preserve">Texto inicial para adaptar: </w:t>
      </w:r>
      <w:r>
        <w:t>O acesso remoto de fornecedores deve ser autorizado para uma necessidade específica, limitado ao serviço contratado e submetido a registro e acompanhamento.</w:t>
      </w:r>
    </w:p>
    <w:p>
      <w:pPr>
        <w:pStyle w:val="Campoeditável"/>
      </w:pPr>
      <w:r>
        <w:rPr>
          <w:b/>
        </w:rPr>
        <w:t xml:space="preserve">Completar pela equipe: </w:t>
      </w:r>
      <w:r>
        <w:t>[Definir quem autoriza e acompanha o acesso e quais requisitos contratuais serão propostos.]</w:t>
      </w:r>
    </w:p>
    <w:p>
      <w:pPr>
        <w:pStyle w:val="Ttulo2"/>
        <w:pageBreakBefore/>
      </w:pPr>
      <w:r>
        <w:t>4.5 Vulnerabilidades e atualizações</w:t>
      </w:r>
    </w:p>
    <w:p>
      <w:pPr>
        <w:pStyle w:val="Orientação"/>
      </w:pPr>
      <w:r>
        <w:rPr>
          <w:b/>
        </w:rPr>
        <w:t xml:space="preserve">Quem escreve: </w:t>
      </w:r>
      <w:r>
        <w:t>Isadora</w:t>
      </w:r>
    </w:p>
    <w:p>
      <w:pPr>
        <w:pStyle w:val="Orientação"/>
      </w:pPr>
      <w:r>
        <w:rPr>
          <w:b/>
        </w:rPr>
        <w:t xml:space="preserve">Objetivo da seção: </w:t>
      </w:r>
      <w:r>
        <w:t>Orientar a identificação e a correção de fragilidades nos sistemas.</w:t>
      </w:r>
    </w:p>
    <w:p>
      <w:pPr>
        <w:pStyle w:val="Orientação"/>
      </w:pPr>
      <w:r>
        <w:rPr>
          <w:b/>
        </w:rPr>
        <w:t xml:space="preserve">O que escrever: </w:t>
      </w:r>
      <w:r>
        <w:t>Preveja avaliações periódicas, prioridade conforme risco e criticidade, atualizações controladas e análise dos sistemas legados. Registre exceções justificadas e medidas compensatórias, se necessárias, como propostas.</w:t>
      </w:r>
    </w:p>
    <w:p>
      <w:pPr>
        <w:pStyle w:val="Orientação"/>
      </w:pPr>
      <w:r>
        <w:rPr>
          <w:b/>
        </w:rPr>
        <w:t xml:space="preserve">Fato do estudo de caso: </w:t>
      </w:r>
      <w:r>
        <w:t>Os equipamentos são renovados em média a cada cinco anos. Falhas em sistemas legados de controle de voo são um risco indicado no enunciado; não há inventário de versões ou falhas ocorridas.</w:t>
      </w:r>
    </w:p>
    <w:p>
      <w:pPr>
        <w:pStyle w:val="Orientação"/>
      </w:pPr>
      <w:r>
        <w:rPr>
          <w:b/>
        </w:rPr>
        <w:t xml:space="preserve">Referências que podem ajudar: </w:t>
      </w:r>
      <w:r>
        <w:t>GOL, gerenciamento de vulnerabilidades; PPSI 2.0, diretrizes gerais.</w:t>
      </w:r>
    </w:p>
    <w:p>
      <w:pPr>
        <w:pStyle w:val="Orientação"/>
      </w:pPr>
      <w:r>
        <w:rPr>
          <w:b/>
        </w:rPr>
        <w:t xml:space="preserve">Alinhamento necessário: </w:t>
      </w:r>
      <w:r>
        <w:t>A priorização deve ser compatível com a PGR e com 4.3. Renovação de equipamento a cada cinco anos não equivale a atualização de software apenas nesse intervalo.</w:t>
      </w:r>
    </w:p>
    <w:p>
      <w:pPr>
        <w:pStyle w:val="Orientação"/>
      </w:pPr>
      <w:r>
        <w:rPr>
          <w:b/>
        </w:rPr>
        <w:t xml:space="preserve">Texto inicial para adaptar: </w:t>
      </w:r>
      <w:r>
        <w:t>As vulnerabilidades identificadas devem ser avaliadas e tratadas conforme a criticidade dos ativos e os riscos associados, com controle das alterações realizadas.</w:t>
      </w:r>
    </w:p>
    <w:p>
      <w:pPr>
        <w:pStyle w:val="Campoeditável"/>
      </w:pPr>
      <w:r>
        <w:rPr>
          <w:b/>
        </w:rPr>
        <w:t xml:space="preserve">Completar pela equipe: </w:t>
      </w:r>
      <w:r>
        <w:t>[Definir responsáveis, periodicidade proposta e regra para correções e exceções.]</w:t>
      </w:r>
    </w:p>
    <w:p>
      <w:pPr>
        <w:pStyle w:val="Ttulo2"/>
      </w:pPr>
      <w:r>
        <w:t>4.6 Backup e recuperação</w:t>
      </w:r>
    </w:p>
    <w:p>
      <w:pPr>
        <w:pStyle w:val="Orientação"/>
      </w:pPr>
      <w:r>
        <w:rPr>
          <w:b/>
        </w:rPr>
        <w:t xml:space="preserve">Quem escreve: </w:t>
      </w:r>
      <w:r>
        <w:t>Isadora</w:t>
      </w:r>
    </w:p>
    <w:p>
      <w:pPr>
        <w:pStyle w:val="Orientação"/>
      </w:pPr>
      <w:r>
        <w:rPr>
          <w:b/>
        </w:rPr>
        <w:t xml:space="preserve">Objetivo da seção: </w:t>
      </w:r>
      <w:r>
        <w:t>Estabelecer a obrigação de manter cópias protegidas e recuperáveis.</w:t>
      </w:r>
    </w:p>
    <w:p>
      <w:pPr>
        <w:pStyle w:val="Orientação"/>
      </w:pPr>
      <w:r>
        <w:rPr>
          <w:b/>
        </w:rPr>
        <w:t xml:space="preserve">O que escrever: </w:t>
      </w:r>
      <w:r>
        <w:t>Preveja periodicidade, proteção contra acesso e alteração indevidos, testes de restauração e cópias para contingência. Considere cópias offline para reservas, como solicitado pela atividade. Não fixe metas de recuperação sem alinhar com o PCN.</w:t>
      </w:r>
    </w:p>
    <w:p>
      <w:pPr>
        <w:pStyle w:val="Orientação"/>
      </w:pPr>
      <w:r>
        <w:rPr>
          <w:b/>
        </w:rPr>
        <w:t xml:space="preserve">Fato do estudo de caso: </w:t>
      </w:r>
      <w:r>
        <w:t>A empresa possui 50 servidores locais. O enunciado exige continuidade das reservas com backup offline, mas não confirma a existência atual dessa solução.</w:t>
      </w:r>
    </w:p>
    <w:p>
      <w:pPr>
        <w:pStyle w:val="Orientação"/>
      </w:pPr>
      <w:r>
        <w:rPr>
          <w:b/>
        </w:rPr>
        <w:t xml:space="preserve">Referências que podem ajudar: </w:t>
      </w:r>
      <w:r>
        <w:t>GOL, segurança nas operações e continuidade; PPSI 2.0.</w:t>
      </w:r>
    </w:p>
    <w:p>
      <w:pPr>
        <w:pStyle w:val="Orientação"/>
      </w:pPr>
      <w:r>
        <w:rPr>
          <w:b/>
        </w:rPr>
        <w:t xml:space="preserve">Alinhamento necessário: </w:t>
      </w:r>
      <w:r>
        <w:t>Sabrina e Gustavo definirão estratégias e necessidades de recuperação; a PGR registrará o tratamento relacionado. O grupo deve usar a mesma proposta de backup nos três textos.</w:t>
      </w:r>
    </w:p>
    <w:p>
      <w:pPr>
        <w:pStyle w:val="Orientação"/>
      </w:pPr>
      <w:r>
        <w:rPr>
          <w:b/>
        </w:rPr>
        <w:t xml:space="preserve">Texto inicial para adaptar: </w:t>
      </w:r>
      <w:r>
        <w:t>Devem ser mantidas cópias de segurança protegidas e submetidas a testes de restauração, considerando a necessidade de recuperação dos serviços críticos.</w:t>
      </w:r>
    </w:p>
    <w:p>
      <w:pPr>
        <w:pStyle w:val="Campoeditável"/>
      </w:pPr>
      <w:r>
        <w:rPr>
          <w:b/>
        </w:rPr>
        <w:t xml:space="preserve">Completar pela equipe: </w:t>
      </w:r>
      <w:r>
        <w:t>[Registrar frequência, proteção e testes como premissas; completar a diretriz de cópias offline para reservas.]</w:t>
      </w:r>
    </w:p>
    <w:p>
      <w:pPr>
        <w:pStyle w:val="Ttulo2"/>
        <w:pageBreakBefore/>
      </w:pPr>
      <w:r>
        <w:t>4.7 Incidentes de segurança</w:t>
      </w:r>
    </w:p>
    <w:p>
      <w:pPr>
        <w:pStyle w:val="Orientação"/>
      </w:pPr>
      <w:r>
        <w:rPr>
          <w:b/>
        </w:rPr>
        <w:t xml:space="preserve">Quem escreve: </w:t>
      </w:r>
      <w:r>
        <w:t>Isadora</w:t>
      </w:r>
    </w:p>
    <w:p>
      <w:pPr>
        <w:pStyle w:val="Orientação"/>
      </w:pPr>
      <w:r>
        <w:rPr>
          <w:b/>
        </w:rPr>
        <w:t xml:space="preserve">Objetivo da seção: </w:t>
      </w:r>
      <w:r>
        <w:t>Estabelecer a obrigação de relatar, registrar e encaminhar incidentes.</w:t>
      </w:r>
    </w:p>
    <w:p>
      <w:pPr>
        <w:pStyle w:val="Orientação"/>
      </w:pPr>
      <w:r>
        <w:rPr>
          <w:b/>
        </w:rPr>
        <w:t xml:space="preserve">O que escrever: </w:t>
      </w:r>
      <w:r>
        <w:t>Defina o público obrigado a comunicar, a função que recebe os relatos, o canal proposto e o encaminhamento técnico. Inclua proteção dos registros e articulação com o PCN quando houver interrupção relevante.</w:t>
      </w:r>
    </w:p>
    <w:p>
      <w:pPr>
        <w:pStyle w:val="Orientação"/>
      </w:pPr>
      <w:r>
        <w:rPr>
          <w:b/>
        </w:rPr>
        <w:t xml:space="preserve">Fato do estudo de caso: </w:t>
      </w:r>
      <w:r>
        <w:t>Os sistemas de controle e reservas são alvo de DDoS e tentativas de fraude. O caso exige que o PCN considere comunicação com ANAC e DECEA.</w:t>
      </w:r>
    </w:p>
    <w:p>
      <w:pPr>
        <w:pStyle w:val="Orientação"/>
      </w:pPr>
      <w:r>
        <w:rPr>
          <w:b/>
        </w:rPr>
        <w:t xml:space="preserve">Referências que podem ajudar: </w:t>
      </w:r>
      <w:r>
        <w:t>GOL, registros e incidentes; PPSI 2.0; LGPD, art. 48.</w:t>
      </w:r>
    </w:p>
    <w:p>
      <w:pPr>
        <w:pStyle w:val="Orientação"/>
      </w:pPr>
      <w:r>
        <w:rPr>
          <w:b/>
        </w:rPr>
        <w:t xml:space="preserve">Alinhamento necessário: </w:t>
      </w:r>
      <w:r>
        <w:t>Usar os mesmos papéis da seção 5 e do PCN. O PCN detalhará acionamento e comunicação; a PGR deverá ser revista quando o incidente alterar a avaliação dos riscos.</w:t>
      </w:r>
    </w:p>
    <w:p>
      <w:pPr>
        <w:pStyle w:val="Orientação"/>
      </w:pPr>
      <w:r>
        <w:rPr>
          <w:b/>
        </w:rPr>
        <w:t xml:space="preserve">Texto inicial para adaptar: </w:t>
      </w:r>
      <w:r>
        <w:t>Suspeitas ou ocorrências de incidentes devem ser comunicadas a [função responsável], por [canal definido], para registro, avaliação e encaminhamento.</w:t>
      </w:r>
    </w:p>
    <w:p>
      <w:pPr>
        <w:pStyle w:val="Campoeditável"/>
      </w:pPr>
      <w:r>
        <w:rPr>
          <w:b/>
        </w:rPr>
        <w:t xml:space="preserve">Completar pela equipe: </w:t>
      </w:r>
      <w:r>
        <w:t>[Completar responsável, canal, dever de registro e regra de encaminhamento ao PCN.]</w:t>
      </w:r>
    </w:p>
    <w:p>
      <w:pPr>
        <w:pStyle w:val="Orientação"/>
      </w:pPr>
      <w:r>
        <w:rPr>
          <w:b/>
        </w:rPr>
        <w:t xml:space="preserve">Premissa a definir: </w:t>
      </w:r>
      <w:r>
        <w:t>Canal interno e prazo operacional [preencher]. Prazos legais de comunicação devem ser verificados em fonte oficial; não são escolhas livres do grupo nem devem ser copiados da GOL.</w:t>
      </w:r>
    </w:p>
    <w:p>
      <w:pPr>
        <w:pStyle w:val="Ttulo2"/>
      </w:pPr>
      <w:r>
        <w:t>4.8 Treinamento e conscientização</w:t>
      </w:r>
    </w:p>
    <w:p>
      <w:pPr>
        <w:pStyle w:val="Orientação"/>
      </w:pPr>
      <w:r>
        <w:rPr>
          <w:b/>
        </w:rPr>
        <w:t xml:space="preserve">Quem escreve: </w:t>
      </w:r>
      <w:r>
        <w:t>Isadora</w:t>
      </w:r>
    </w:p>
    <w:p>
      <w:pPr>
        <w:pStyle w:val="Orientação"/>
      </w:pPr>
      <w:r>
        <w:rPr>
          <w:b/>
        </w:rPr>
        <w:t xml:space="preserve">Objetivo da seção: </w:t>
      </w:r>
      <w:r>
        <w:t>Definir capacitação compatível com os diferentes públicos da empresa.</w:t>
      </w:r>
    </w:p>
    <w:p>
      <w:pPr>
        <w:pStyle w:val="Orientação"/>
      </w:pPr>
      <w:r>
        <w:rPr>
          <w:b/>
        </w:rPr>
        <w:t xml:space="preserve">O que escrever: </w:t>
      </w:r>
      <w:r>
        <w:t>Preveja treinamento periódico, orientação a novos colaboradores e conteúdos por função. Inclua phishing, fraude, proteção de credenciais, comunicação de incidentes e registro de participação.</w:t>
      </w:r>
    </w:p>
    <w:p>
      <w:pPr>
        <w:pStyle w:val="Orientação"/>
      </w:pPr>
      <w:r>
        <w:rPr>
          <w:b/>
        </w:rPr>
        <w:t xml:space="preserve">Fato do estudo de caso: </w:t>
      </w:r>
      <w:r>
        <w:t>Há 1.100 funcionários com escolaridade do ensino médio ao superior. O último treinamento em cibersegurança ocorreu há quatro anos e teve foco em segurança operacional.</w:t>
      </w:r>
    </w:p>
    <w:p>
      <w:pPr>
        <w:pStyle w:val="Orientação"/>
      </w:pPr>
      <w:r>
        <w:rPr>
          <w:b/>
        </w:rPr>
        <w:t xml:space="preserve">Referências que podem ajudar: </w:t>
      </w:r>
      <w:r>
        <w:t>GOL, treinamento e conscientização; PPSI 2.0, capacitação e responsabilidades.</w:t>
      </w:r>
    </w:p>
    <w:p>
      <w:pPr>
        <w:pStyle w:val="Orientação"/>
      </w:pPr>
      <w:r>
        <w:rPr>
          <w:b/>
        </w:rPr>
        <w:t xml:space="preserve">Alinhamento necessário: </w:t>
      </w:r>
      <w:r>
        <w:t>Caio e Higor devem considerar, na PGR, a mesma proposta de capacitação nos tratamentos. O PCN deve prever exercícios dos papéis de continuidade, sem confundir simulação com treinamento geral.</w:t>
      </w:r>
    </w:p>
    <w:p>
      <w:pPr>
        <w:pStyle w:val="Orientação"/>
      </w:pPr>
      <w:r>
        <w:rPr>
          <w:b/>
        </w:rPr>
        <w:t xml:space="preserve">Texto inicial para adaptar: </w:t>
      </w:r>
      <w:r>
        <w:t>Os colaboradores devem receber orientação periódica sobre segurança da informação, com conteúdo adequado às suas atividades e às ameaças relevantes para a AeroLog.</w:t>
      </w:r>
    </w:p>
    <w:p>
      <w:pPr>
        <w:pStyle w:val="Campoeditável"/>
      </w:pPr>
      <w:r>
        <w:rPr>
          <w:b/>
        </w:rPr>
        <w:t xml:space="preserve">Completar pela equipe: </w:t>
      </w:r>
      <w:r>
        <w:t>[Definir periodicidade, públicos, responsável e forma simples de registrar a participação.]</w:t>
      </w:r>
    </w:p>
    <w:p>
      <w:pPr>
        <w:pStyle w:val="Ttulo1"/>
        <w:pageBreakBefore/>
      </w:pPr>
      <w:r>
        <w:t>5. Papéis e Responsabilidades</w:t>
      </w:r>
    </w:p>
    <w:p>
      <w:pPr>
        <w:pStyle w:val="Orientação"/>
      </w:pPr>
      <w:r>
        <w:rPr>
          <w:b/>
        </w:rPr>
        <w:t xml:space="preserve">Quem escreve: </w:t>
      </w:r>
      <w:r>
        <w:t>Arthur</w:t>
      </w:r>
    </w:p>
    <w:p>
      <w:pPr>
        <w:pStyle w:val="Orientação"/>
      </w:pPr>
      <w:r>
        <w:rPr>
          <w:b/>
        </w:rPr>
        <w:t xml:space="preserve">Objetivo da seção: </w:t>
      </w:r>
      <w:r>
        <w:t>Atribuir as obrigações da PSI de forma simples e consistente.</w:t>
      </w:r>
    </w:p>
    <w:p>
      <w:pPr>
        <w:pStyle w:val="Orientação"/>
      </w:pPr>
      <w:r>
        <w:rPr>
          <w:b/>
        </w:rPr>
        <w:t xml:space="preserve">O que escrever: </w:t>
      </w:r>
      <w:r>
        <w:t>Complete a matriz de funções. Use papéis organizacionais, não os nomes dos seis alunos. Valide as funções propostas com as duplas da PGR e do PCN.</w:t>
      </w:r>
    </w:p>
    <w:p>
      <w:pPr>
        <w:pStyle w:val="Orientação"/>
      </w:pPr>
      <w:r>
        <w:rPr>
          <w:b/>
        </w:rPr>
        <w:t xml:space="preserve">Fato do estudo de caso: </w:t>
      </w:r>
      <w:r>
        <w:t>Há equipe de TI própria, pilotos, engenheiros aeronáuticos, equipes de manutenção e administrativa, além de fornecedores de suporte. Não há organograma detalhado.</w:t>
      </w:r>
    </w:p>
    <w:p>
      <w:pPr>
        <w:pStyle w:val="Orientação"/>
      </w:pPr>
      <w:r>
        <w:rPr>
          <w:b/>
        </w:rPr>
        <w:t xml:space="preserve">Referências que podem ajudar: </w:t>
      </w:r>
      <w:r>
        <w:t>PPSI 2.0 e Aena, para distribuição de atribuições; GOL, para terceiros.</w:t>
      </w:r>
    </w:p>
    <w:p>
      <w:pPr>
        <w:pStyle w:val="Orientação"/>
      </w:pPr>
      <w:r>
        <w:rPr>
          <w:b/>
        </w:rPr>
        <w:t xml:space="preserve">Alinhamento necessário: </w:t>
      </w:r>
      <w:r>
        <w:t>Os nomes dos papéis devem permanecer iguais na PGR e no PCN. Criar uma função de segurança separada da TI é uma premissa, não um fato.</w:t>
      </w:r>
    </w:p>
    <w:p>
      <w:pPr>
        <w:pStyle w:val="Orientação"/>
      </w:pPr>
      <w:r>
        <w:rPr>
          <w:b/>
        </w:rPr>
        <w:t xml:space="preserve">Texto inicial para adaptar: </w:t>
      </w:r>
      <w:r>
        <w:t>As responsabilidades pela aplicação desta política serão distribuídas entre as funções a seguir, conforme as premissas organizacionais adotadas para a atividade.</w:t>
      </w:r>
    </w:p>
    <w:p>
      <w:pPr>
        <w:pStyle w:val="Campoeditável"/>
      </w:pPr>
      <w:r>
        <w:rPr>
          <w:b/>
        </w:rPr>
        <w:t xml:space="preserve">Completar pela equipe: </w:t>
      </w:r>
      <w:r>
        <w:t>[Adaptar a introdução e preencher a matriz abaixo.]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746"/>
      </w:tblGrid>
      <w:tr>
        <w:trPr>
          <w:cantSplit/>
          <w:tblHeader/>
        </w:trPr>
        <w:tc>
          <w:tcPr>
            <w:tcW w:type="dxa" w:w="2891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Função a confirmar</w:t>
            </w:r>
          </w:p>
        </w:tc>
        <w:tc>
          <w:tcPr>
            <w:tcW w:type="dxa" w:w="6746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Responsabilidade a definir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Alta Administração</w:t>
            </w:r>
          </w:p>
        </w:tc>
        <w:tc>
          <w:tcPr>
            <w:tcW w:type="dxa" w:w="674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 aprovação da PSI, recursos e decisões de exceção.]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TI / função de segurança</w:t>
            </w:r>
          </w:p>
        </w:tc>
        <w:tc>
          <w:tcPr>
            <w:tcW w:type="dxa" w:w="6746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 gestão de acessos, controles, registros e encaminhamento de incidentes.]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Gestores das áreas</w:t>
            </w:r>
          </w:p>
        </w:tc>
        <w:tc>
          <w:tcPr>
            <w:tcW w:type="dxa" w:w="674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 validação das necessidades de acesso e acompanhamento do cumprimento.]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Colaboradores</w:t>
            </w:r>
          </w:p>
        </w:tc>
        <w:tc>
          <w:tcPr>
            <w:tcW w:type="dxa" w:w="6746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 uso autorizado das informações, proteção de credenciais e comunicação.]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Fornecedores e terceiros</w:t>
            </w:r>
          </w:p>
        </w:tc>
        <w:tc>
          <w:tcPr>
            <w:tcW w:type="dxa" w:w="674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 obrigações contratuais, limites de acesso e relato de incidentes.]</w:t>
            </w:r>
          </w:p>
        </w:tc>
      </w:tr>
    </w:tbl>
    <w:p>
      <w:pPr>
        <w:spacing w:after="20"/>
      </w:pPr>
    </w:p>
    <w:p>
      <w:pPr>
        <w:pStyle w:val="Orientação"/>
      </w:pPr>
      <w:r>
        <w:rPr>
          <w:b/>
        </w:rPr>
        <w:t xml:space="preserve">PREMISSA ACADÊMICA </w:t>
      </w:r>
      <w:r>
        <w:t>A estrutura acima é uma proposta de organização de responsabilidades. Para sistemas embarcados, explicite a participação das funções técnicas pertinentes já mencionadas no caso.</w:t>
      </w:r>
    </w:p>
    <w:p>
      <w:pPr>
        <w:pStyle w:val="Campoeditável"/>
      </w:pPr>
      <w:r>
        <w:rPr>
          <w:b/>
        </w:rPr>
        <w:t xml:space="preserve">Conferência com as outras duplas: </w:t>
      </w:r>
      <w:r>
        <w:t>[Confirmar quem aprova tratamentos na PGR, quem pode acionar o PCN e quem autoriza comunicações. Essas atribuições podem ser detalhadas nos respectivos documentos, sem contradição com esta matriz.]</w:t>
      </w:r>
    </w:p>
    <w:p>
      <w:pPr>
        <w:pStyle w:val="Ttulo1"/>
        <w:pageBreakBefore/>
      </w:pPr>
      <w:r>
        <w:t>6. Conformidade, Revisão e Atualização</w:t>
      </w:r>
    </w:p>
    <w:p>
      <w:pPr>
        <w:pStyle w:val="Orientação"/>
      </w:pPr>
      <w:r>
        <w:rPr>
          <w:b/>
        </w:rPr>
        <w:t xml:space="preserve">Quem escreve: </w:t>
      </w:r>
      <w:r>
        <w:t>Isadora</w:t>
      </w:r>
    </w:p>
    <w:p>
      <w:pPr>
        <w:pStyle w:val="Orientação"/>
      </w:pPr>
      <w:r>
        <w:rPr>
          <w:b/>
        </w:rPr>
        <w:t xml:space="preserve">Objetivo da seção: </w:t>
      </w:r>
      <w:r>
        <w:t>Definir o cuidado com requisitos aplicáveis e a manutenção da política.</w:t>
      </w:r>
    </w:p>
    <w:p>
      <w:pPr>
        <w:pStyle w:val="Orientação"/>
      </w:pPr>
      <w:r>
        <w:rPr>
          <w:b/>
        </w:rPr>
        <w:t xml:space="preserve">O que escrever: </w:t>
      </w:r>
      <w:r>
        <w:t>Indique a LGPD e os requisitos aeronáuticos cuja aplicabilidade tenha sido confirmada. Preveja revisão periódica e antecipada por incidentes, mudanças de sistemas, fornecedores ou normas. Defina responsáveis, aprovação e divulgação da nova versão.</w:t>
      </w:r>
    </w:p>
    <w:p>
      <w:pPr>
        <w:pStyle w:val="Orientação"/>
      </w:pPr>
      <w:r>
        <w:rPr>
          <w:b/>
        </w:rPr>
        <w:t xml:space="preserve">Fato do estudo de caso: </w:t>
      </w:r>
      <w:r>
        <w:t>O enunciado menciona LGPD, regulamentações da ANAC, DO-326A e ICAO Doc 10151. Não informa certificações obtidas nem a periodicidade de revisão da PSI.</w:t>
      </w:r>
    </w:p>
    <w:p>
      <w:pPr>
        <w:pStyle w:val="Orientação"/>
      </w:pPr>
      <w:r>
        <w:rPr>
          <w:b/>
        </w:rPr>
        <w:t xml:space="preserve">Referências que podem ajudar: </w:t>
      </w:r>
      <w:r>
        <w:t>LGPD; PPSI 2.0, para revisão; RTCA e ICAO, para conferir a identificação das referências aeronáuticas.</w:t>
      </w:r>
    </w:p>
    <w:p>
      <w:pPr>
        <w:pStyle w:val="Orientação"/>
      </w:pPr>
      <w:r>
        <w:rPr>
          <w:b/>
        </w:rPr>
        <w:t xml:space="preserve">Alinhamento necessário: </w:t>
      </w:r>
      <w:r>
        <w:t>Alterações nas regras devem ser avaliadas também na PGR e no PCN, preservando controles e responsáveis compatíveis.</w:t>
      </w:r>
    </w:p>
    <w:p>
      <w:pPr>
        <w:pStyle w:val="Orientação"/>
      </w:pPr>
      <w:r>
        <w:rPr>
          <w:b/>
        </w:rPr>
        <w:t xml:space="preserve">Texto inicial para adaptar: </w:t>
      </w:r>
      <w:r>
        <w:t>Esta política deverá observar os requisitos legais e regulatórios aplicáveis e ser revisada em [periodicidade], ou antes, quando mudanças relevantes justificarem sua atualização.</w:t>
      </w:r>
    </w:p>
    <w:p>
      <w:pPr>
        <w:pStyle w:val="Campoeditável"/>
      </w:pPr>
      <w:r>
        <w:rPr>
          <w:b/>
        </w:rPr>
        <w:t xml:space="preserve">Completar pela equipe: </w:t>
      </w:r>
      <w:r>
        <w:t>[Completar periodicidade proposta, responsável pela revisão, aprovação e divulgação.]</w:t>
      </w:r>
    </w:p>
    <w:p>
      <w:pPr>
        <w:pStyle w:val="Orientação"/>
      </w:pPr>
      <w:r>
        <w:rPr>
          <w:b/>
        </w:rPr>
        <w:t xml:space="preserve">Validação das referências aeronáuticas: </w:t>
      </w:r>
      <w:r>
        <w:t>O catálogo oficial da ICAO identifica o Doc 10151 como Manual on Human Performance (HP) for Regulators. Esclarecer com o professor a relação pretendida no enunciado antes de declarar conformidade cibernética com esse documento. A descrição pública da RTCA apresenta DO-326A como orientação para o processo de segurança de aeronavegabilidade; isso não comprova uma certificação da AeroLog. Consulte os links de ICAO e RTCA ao final.</w:t>
      </w:r>
    </w:p>
    <w:p>
      <w:pPr>
        <w:pStyle w:val="Campoeditável"/>
      </w:pPr>
      <w:r>
        <w:rPr>
          <w:b/>
        </w:rPr>
        <w:t xml:space="preserve">Requisitos da ANAC: </w:t>
      </w:r>
      <w:r>
        <w:t>[Registrar a norma aplicável, a fonte oficial e a relação com a atividade. Não atribuir automaticamente à AeroLog políticas internas da própria agência.]</w:t>
      </w:r>
    </w:p>
    <w:p>
      <w:pPr>
        <w:pStyle w:val="Orientação"/>
      </w:pPr>
      <w:r>
        <w:rPr>
          <w:b/>
        </w:rPr>
        <w:t xml:space="preserve">Premissas consolidadas para a PSI </w:t>
      </w:r>
      <w:r>
        <w:t>Preencher apenas as decisões adotadas e compartilhar com as demais duplas.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15"/>
        <w:gridCol w:w="6123"/>
      </w:tblGrid>
      <w:tr>
        <w:trPr>
          <w:cantSplit/>
          <w:tblHeader/>
        </w:trPr>
        <w:tc>
          <w:tcPr>
            <w:tcW w:type="dxa" w:w="3515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Decisão</w:t>
            </w:r>
          </w:p>
        </w:tc>
        <w:tc>
          <w:tcPr>
            <w:tcW w:type="dxa" w:w="6123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Definição do grupo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Revisão de acessos / PSI</w:t>
            </w:r>
          </w:p>
        </w:tc>
        <w:tc>
          <w:tcPr>
            <w:tcW w:type="dxa" w:w="612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[Frequências, responsáveis e justificativa.]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Backups e testes de restauração</w:t>
            </w:r>
          </w:p>
        </w:tc>
        <w:tc>
          <w:tcPr>
            <w:tcW w:type="dxa" w:w="6123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[Regras coerentes com a estratégia do PCN.]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Treinamento e canal de incidentes</w:t>
            </w:r>
          </w:p>
        </w:tc>
        <w:tc>
          <w:tcPr>
            <w:tcW w:type="dxa" w:w="612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[Frequência, função responsável e canal.]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Controles e recursos propostos</w:t>
            </w:r>
          </w:p>
        </w:tc>
        <w:tc>
          <w:tcPr>
            <w:tcW w:type="dxa" w:w="6123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[Distinguir proposta acadêmica de condição existente.]</w:t>
            </w:r>
          </w:p>
        </w:tc>
      </w:tr>
    </w:tbl>
    <w:p>
      <w:pPr>
        <w:spacing w:after="20"/>
      </w:pPr>
    </w:p>
    <w:p>
      <w:pPr>
        <w:pStyle w:val="Orientação"/>
        <w:pageBreakBefore/>
      </w:pPr>
      <w:r>
        <w:rPr>
          <w:b/>
        </w:rPr>
        <w:t xml:space="preserve">Referências de apoio à elaboração </w:t>
      </w:r>
      <w:r>
        <w:t>Links oficiais consultados em 07/10/2026. Use somente as fontes efetivamente aproveitadas na redação da equipe.</w:t>
      </w:r>
    </w:p>
    <w:p>
      <w:pPr>
        <w:pStyle w:val="Orientação"/>
      </w:pPr>
      <w:r>
        <w:rPr>
          <w:b/>
        </w:rPr>
        <w:t xml:space="preserve">Base fornecida pela atividade: </w:t>
      </w:r>
      <w:r>
        <w:t>08 - AeroLog Transportes Aéreos.pdf, páginas 1 e 2; guia_elaboracao_PSI_PGR_PCN_AeroLog.md, estrutura da PSI e orientações de integração.</w:t>
      </w:r>
    </w:p>
    <w:p>
      <w:pPr>
        <w:pStyle w:val="Fonte"/>
      </w:pPr>
      <w:r>
        <w:rPr>
          <w:b/>
        </w:rPr>
        <w:t xml:space="preserve">PPSI 2.0 — </w:t>
      </w:r>
      <w:hyperlink r:id="rId18">
        <w:r>
          <w:rPr>
            <w:color w:val="234E70"/>
            <w:u w:val="single"/>
          </w:rPr>
          <w:t>Governo Digital / MGI. Modelo de Política de Segurança da Informação, versão 1.0, 2026.</w:t>
        </w:r>
      </w:hyperlink>
    </w:p>
    <w:p>
      <w:pPr>
        <w:pStyle w:val="Fonte"/>
      </w:pPr>
      <w:r>
        <w:t>Apoia a organização e a linguagem. O público original é o SISP; não transpor competências ou normas da Administração Pública para a empresa fictícia.</w:t>
      </w:r>
    </w:p>
    <w:p>
      <w:pPr>
        <w:pStyle w:val="Fonte"/>
      </w:pPr>
      <w:r>
        <w:rPr>
          <w:b/>
        </w:rPr>
        <w:t xml:space="preserve">GOL — </w:t>
      </w:r>
      <w:hyperlink r:id="rId19">
        <w:r>
          <w:rPr>
            <w:color w:val="234E70"/>
            <w:u w:val="single"/>
          </w:rPr>
          <w:t>GOL Linhas Aéreas. Política de Segurança da Informação para Terceiros, revisão 01, 12/06/2025.</w:t>
        </w:r>
      </w:hyperlink>
    </w:p>
    <w:p>
      <w:pPr>
        <w:pStyle w:val="Fonte"/>
      </w:pPr>
      <w:r>
        <w:t>Apoia requisitos de fornecedores, acesso remoto e controles. Seus prazos e funções pertencem à GOL.</w:t>
      </w:r>
    </w:p>
    <w:p>
      <w:pPr>
        <w:pStyle w:val="Fonte"/>
      </w:pPr>
      <w:r>
        <w:rPr>
          <w:b/>
        </w:rPr>
        <w:t xml:space="preserve">Aena — </w:t>
      </w:r>
      <w:hyperlink r:id="rId20">
        <w:r>
          <w:rPr>
            <w:color w:val="234E70"/>
            <w:u w:val="single"/>
          </w:rPr>
          <w:t>Aena. Política de Segurança da Informação, com aditivo de adesão da Aena Brasil.</w:t>
        </w:r>
      </w:hyperlink>
    </w:p>
    <w:p>
      <w:pPr>
        <w:pStyle w:val="Fonte"/>
      </w:pPr>
      <w:r>
        <w:t>Apoia finalidade, alcance, princípios e responsabilidades no setor de aviação.</w:t>
      </w:r>
    </w:p>
    <w:p>
      <w:pPr>
        <w:pStyle w:val="Fonte"/>
      </w:pPr>
      <w:r>
        <w:rPr>
          <w:b/>
        </w:rPr>
        <w:t xml:space="preserve">LGPD — </w:t>
      </w:r>
      <w:hyperlink r:id="rId21">
        <w:r>
          <w:rPr>
            <w:color w:val="234E70"/>
            <w:u w:val="single"/>
          </w:rPr>
          <w:t>Presidência da República. Lei nº 13.709/2018, texto atualizado.</w:t>
        </w:r>
      </w:hyperlink>
    </w:p>
    <w:p>
      <w:pPr>
        <w:pStyle w:val="Fonte"/>
      </w:pPr>
      <w:r>
        <w:t>Apoia proteção de dados pessoais e tratamento de incidentes. Conferir também as normas específicas aplicáveis quando definir obrigações e prazos.</w:t>
      </w:r>
    </w:p>
    <w:p>
      <w:pPr>
        <w:pStyle w:val="Fonte"/>
      </w:pPr>
      <w:r>
        <w:rPr>
          <w:b/>
        </w:rPr>
        <w:t xml:space="preserve">RTCA — </w:t>
      </w:r>
      <w:hyperlink r:id="rId22">
        <w:r>
          <w:rPr>
            <w:color w:val="234E70"/>
            <w:u w:val="single"/>
          </w:rPr>
          <w:t>RTCA. Security, descrição pública de documentos de segurança de aeronavegabilidade.</w:t>
        </w:r>
      </w:hyperlink>
    </w:p>
    <w:p>
      <w:pPr>
        <w:pStyle w:val="Fonte"/>
      </w:pPr>
      <w:r>
        <w:t>Apoia a identificação de DO-326A. Não substitui a consulta à norma integral nem define, por si só, sua aplicabilidade.</w:t>
      </w:r>
    </w:p>
    <w:p>
      <w:pPr>
        <w:pStyle w:val="Fonte"/>
      </w:pPr>
      <w:r>
        <w:rPr>
          <w:b/>
        </w:rPr>
        <w:t xml:space="preserve">ICAO — </w:t>
      </w:r>
      <w:hyperlink r:id="rId23">
        <w:r>
          <w:rPr>
            <w:color w:val="234E70"/>
            <w:u w:val="single"/>
          </w:rPr>
          <w:t>ICAO. Guidance Material, catálogo oficial de manuais.</w:t>
        </w:r>
      </w:hyperlink>
    </w:p>
    <w:p>
      <w:pPr>
        <w:pStyle w:val="Fonte"/>
      </w:pPr>
      <w:r>
        <w:t>Confirma o título do Doc 10151 e fundamenta a pendência indicada na seção 6; não foi usado como manual de cibersegurança.</w:t>
      </w:r>
    </w:p>
    <w:p>
      <w:pPr>
        <w:pStyle w:val="Orientação"/>
      </w:pPr>
      <w:r>
        <w:rPr>
          <w:b/>
        </w:rPr>
        <w:t xml:space="preserve">Conferência de integração antes da entrega </w:t>
      </w:r>
      <w:r>
        <w:t>A PSI fornece as diretrizes; a PGR avalia riscos e detalha tratamentos; o PCN define a continuidade e a recuperação.</w:t>
      </w:r>
    </w:p>
    <w:p>
      <w:pPr>
        <w:pStyle w:val="Orientação"/>
      </w:pPr>
      <w:r>
        <w:t>• Comparar os nomes de ativos e funções nos três documentos.</w:t>
      </w:r>
    </w:p>
    <w:p>
      <w:pPr>
        <w:pStyle w:val="Orientação"/>
      </w:pPr>
      <w:r>
        <w:t>• Confirmar que os tratamentos da PGR atendem às regras propostas na PSI.</w:t>
      </w:r>
    </w:p>
    <w:p>
      <w:pPr>
        <w:pStyle w:val="Orientação"/>
      </w:pPr>
      <w:r>
        <w:t>• Conferir se backups, acesso remoto, incidentes e recuperação são compatíveis com o PCN.</w:t>
      </w:r>
    </w:p>
    <w:p>
      <w:pPr>
        <w:pStyle w:val="Orientação"/>
      </w:pPr>
      <w:r>
        <w:t>• Usar os IDs mantidos pela dupla da PGR quando houver referência a riscos; não criar identificadores diferentes.</w:t>
      </w:r>
    </w:p>
    <w:p>
      <w:pPr>
        <w:pStyle w:val="Orientação"/>
      </w:pPr>
      <w:r>
        <w:t>• Preservar as premissas aprovadas pelo grupo e retirar instruções e campos não preenchidos da versão final.</w:t>
      </w:r>
    </w:p>
    <w:sectPr w:rsidR="006D38E7">
      <w:footerReference w:type="default" r:id="rId16"/>
      <w:headerReference w:type="default" r:id="rId17"/>
      <w:pgSz w:w="11906" w:h="16838"/>
      <w:pgMar w:top="1020" w:right="1134" w:bottom="1020" w:left="1134" w:header="397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A0316" w14:textId="77777777" w:rsidR="00E21A43" w:rsidRDefault="00E21A43">
      <w:r>
        <w:separator/>
      </w:r>
    </w:p>
  </w:endnote>
  <w:endnote w:type="continuationSeparator" w:id="0">
    <w:p w14:paraId="6BB6563D" w14:textId="77777777" w:rsidR="00E21A43" w:rsidRDefault="00E21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MT">
    <w:altName w:val="Arial MT"/>
    <w:charset w:val="01"/>
    <w:family w:val="swiss"/>
    <w:pitch w:val="variable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AeroLog | PSI | Modelo base | </w:t>
    </w:r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D61F4" w14:textId="77777777" w:rsidR="00E21A43" w:rsidRDefault="00E21A43">
      <w:r>
        <w:separator/>
      </w:r>
    </w:p>
  </w:footnote>
  <w:footnote w:type="continuationSeparator" w:id="0">
    <w:p w14:paraId="0633638B" w14:textId="77777777" w:rsidR="00E21A43" w:rsidRDefault="00E21A4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58F6"/>
    <w:multiLevelType w:val="hybridMultilevel"/>
    <w:tmpl w:val="FFFFFFFF"/>
    <w:lvl w:ilvl="0" w:tplc="59D84E7C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568C93CA">
      <w:numFmt w:val="bullet"/>
      <w:lvlText w:val="•"/>
      <w:lvlJc w:val="left"/>
      <w:pPr>
        <w:ind w:left="1216" w:hanging="361"/>
      </w:pPr>
      <w:rPr>
        <w:rFonts w:hint="default"/>
        <w:lang w:val="pt-PT" w:eastAsia="en-US" w:bidi="ar-SA"/>
      </w:rPr>
    </w:lvl>
    <w:lvl w:ilvl="2" w:tplc="2DC440F4">
      <w:numFmt w:val="bullet"/>
      <w:lvlText w:val="•"/>
      <w:lvlJc w:val="left"/>
      <w:pPr>
        <w:ind w:left="1592" w:hanging="361"/>
      </w:pPr>
      <w:rPr>
        <w:rFonts w:hint="default"/>
        <w:lang w:val="pt-PT" w:eastAsia="en-US" w:bidi="ar-SA"/>
      </w:rPr>
    </w:lvl>
    <w:lvl w:ilvl="3" w:tplc="61DC920A">
      <w:numFmt w:val="bullet"/>
      <w:lvlText w:val="•"/>
      <w:lvlJc w:val="left"/>
      <w:pPr>
        <w:ind w:left="1968" w:hanging="361"/>
      </w:pPr>
      <w:rPr>
        <w:rFonts w:hint="default"/>
        <w:lang w:val="pt-PT" w:eastAsia="en-US" w:bidi="ar-SA"/>
      </w:rPr>
    </w:lvl>
    <w:lvl w:ilvl="4" w:tplc="2584A4F4">
      <w:numFmt w:val="bullet"/>
      <w:lvlText w:val="•"/>
      <w:lvlJc w:val="left"/>
      <w:pPr>
        <w:ind w:left="2344" w:hanging="361"/>
      </w:pPr>
      <w:rPr>
        <w:rFonts w:hint="default"/>
        <w:lang w:val="pt-PT" w:eastAsia="en-US" w:bidi="ar-SA"/>
      </w:rPr>
    </w:lvl>
    <w:lvl w:ilvl="5" w:tplc="94EA7778">
      <w:numFmt w:val="bullet"/>
      <w:lvlText w:val="•"/>
      <w:lvlJc w:val="left"/>
      <w:pPr>
        <w:ind w:left="2721" w:hanging="361"/>
      </w:pPr>
      <w:rPr>
        <w:rFonts w:hint="default"/>
        <w:lang w:val="pt-PT" w:eastAsia="en-US" w:bidi="ar-SA"/>
      </w:rPr>
    </w:lvl>
    <w:lvl w:ilvl="6" w:tplc="A93AA7EE">
      <w:numFmt w:val="bullet"/>
      <w:lvlText w:val="•"/>
      <w:lvlJc w:val="left"/>
      <w:pPr>
        <w:ind w:left="3097" w:hanging="361"/>
      </w:pPr>
      <w:rPr>
        <w:rFonts w:hint="default"/>
        <w:lang w:val="pt-PT" w:eastAsia="en-US" w:bidi="ar-SA"/>
      </w:rPr>
    </w:lvl>
    <w:lvl w:ilvl="7" w:tplc="BE58B188">
      <w:numFmt w:val="bullet"/>
      <w:lvlText w:val="•"/>
      <w:lvlJc w:val="left"/>
      <w:pPr>
        <w:ind w:left="3473" w:hanging="361"/>
      </w:pPr>
      <w:rPr>
        <w:rFonts w:hint="default"/>
        <w:lang w:val="pt-PT" w:eastAsia="en-US" w:bidi="ar-SA"/>
      </w:rPr>
    </w:lvl>
    <w:lvl w:ilvl="8" w:tplc="2DD25ECA">
      <w:numFmt w:val="bullet"/>
      <w:lvlText w:val="•"/>
      <w:lvlJc w:val="left"/>
      <w:pPr>
        <w:ind w:left="3849" w:hanging="361"/>
      </w:pPr>
      <w:rPr>
        <w:rFonts w:hint="default"/>
        <w:lang w:val="pt-PT" w:eastAsia="en-US" w:bidi="ar-SA"/>
      </w:rPr>
    </w:lvl>
  </w:abstractNum>
  <w:abstractNum w:abstractNumId="1" w15:restartNumberingAfterBreak="0">
    <w:nsid w:val="2D3D35C4"/>
    <w:multiLevelType w:val="multilevel"/>
    <w:tmpl w:val="FFFFFFFF"/>
    <w:lvl w:ilvl="0">
      <w:start w:val="1"/>
      <w:numFmt w:val="decimal"/>
      <w:lvlText w:val="%1"/>
      <w:lvlJc w:val="left"/>
      <w:pPr>
        <w:ind w:left="373" w:hanging="23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808080"/>
        <w:spacing w:val="0"/>
        <w:w w:val="100"/>
        <w:sz w:val="32"/>
        <w:szCs w:val="3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98" w:hanging="355"/>
        <w:jc w:val="left"/>
      </w:pPr>
      <w:rPr>
        <w:rFonts w:hint="default"/>
        <w:spacing w:val="-2"/>
        <w:w w:val="100"/>
        <w:lang w:val="pt-PT" w:eastAsia="en-US" w:bidi="ar-SA"/>
      </w:rPr>
    </w:lvl>
    <w:lvl w:ilvl="2">
      <w:numFmt w:val="bullet"/>
      <w:lvlText w:val="•"/>
      <w:lvlJc w:val="left"/>
      <w:pPr>
        <w:ind w:left="1483" w:hanging="35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467" w:hanging="35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51" w:hanging="35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35" w:hanging="35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18" w:hanging="35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402" w:hanging="35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386" w:hanging="355"/>
      </w:pPr>
      <w:rPr>
        <w:rFonts w:hint="default"/>
        <w:lang w:val="pt-PT" w:eastAsia="en-US" w:bidi="ar-SA"/>
      </w:rPr>
    </w:lvl>
  </w:abstractNum>
  <w:abstractNum w:abstractNumId="2" w15:restartNumberingAfterBreak="0">
    <w:nsid w:val="37FA33A3"/>
    <w:multiLevelType w:val="hybridMultilevel"/>
    <w:tmpl w:val="FFFFFFFF"/>
    <w:lvl w:ilvl="0" w:tplc="783C1DC8">
      <w:numFmt w:val="bullet"/>
      <w:lvlText w:val=""/>
      <w:lvlJc w:val="left"/>
      <w:pPr>
        <w:ind w:left="86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F2A40A78">
      <w:numFmt w:val="bullet"/>
      <w:lvlText w:val="•"/>
      <w:lvlJc w:val="left"/>
      <w:pPr>
        <w:ind w:left="1233" w:hanging="361"/>
      </w:pPr>
      <w:rPr>
        <w:rFonts w:hint="default"/>
        <w:lang w:val="pt-PT" w:eastAsia="en-US" w:bidi="ar-SA"/>
      </w:rPr>
    </w:lvl>
    <w:lvl w:ilvl="2" w:tplc="F6E2E478">
      <w:numFmt w:val="bullet"/>
      <w:lvlText w:val="•"/>
      <w:lvlJc w:val="left"/>
      <w:pPr>
        <w:ind w:left="1607" w:hanging="361"/>
      </w:pPr>
      <w:rPr>
        <w:rFonts w:hint="default"/>
        <w:lang w:val="pt-PT" w:eastAsia="en-US" w:bidi="ar-SA"/>
      </w:rPr>
    </w:lvl>
    <w:lvl w:ilvl="3" w:tplc="71D2ED18">
      <w:numFmt w:val="bullet"/>
      <w:lvlText w:val="•"/>
      <w:lvlJc w:val="left"/>
      <w:pPr>
        <w:ind w:left="1981" w:hanging="361"/>
      </w:pPr>
      <w:rPr>
        <w:rFonts w:hint="default"/>
        <w:lang w:val="pt-PT" w:eastAsia="en-US" w:bidi="ar-SA"/>
      </w:rPr>
    </w:lvl>
    <w:lvl w:ilvl="4" w:tplc="6BC04366">
      <w:numFmt w:val="bullet"/>
      <w:lvlText w:val="•"/>
      <w:lvlJc w:val="left"/>
      <w:pPr>
        <w:ind w:left="2354" w:hanging="361"/>
      </w:pPr>
      <w:rPr>
        <w:rFonts w:hint="default"/>
        <w:lang w:val="pt-PT" w:eastAsia="en-US" w:bidi="ar-SA"/>
      </w:rPr>
    </w:lvl>
    <w:lvl w:ilvl="5" w:tplc="FCBEBF7E">
      <w:numFmt w:val="bullet"/>
      <w:lvlText w:val="•"/>
      <w:lvlJc w:val="left"/>
      <w:pPr>
        <w:ind w:left="2728" w:hanging="361"/>
      </w:pPr>
      <w:rPr>
        <w:rFonts w:hint="default"/>
        <w:lang w:val="pt-PT" w:eastAsia="en-US" w:bidi="ar-SA"/>
      </w:rPr>
    </w:lvl>
    <w:lvl w:ilvl="6" w:tplc="B9B87D58">
      <w:numFmt w:val="bullet"/>
      <w:lvlText w:val="•"/>
      <w:lvlJc w:val="left"/>
      <w:pPr>
        <w:ind w:left="3102" w:hanging="361"/>
      </w:pPr>
      <w:rPr>
        <w:rFonts w:hint="default"/>
        <w:lang w:val="pt-PT" w:eastAsia="en-US" w:bidi="ar-SA"/>
      </w:rPr>
    </w:lvl>
    <w:lvl w:ilvl="7" w:tplc="35EAB792">
      <w:numFmt w:val="bullet"/>
      <w:lvlText w:val="•"/>
      <w:lvlJc w:val="left"/>
      <w:pPr>
        <w:ind w:left="3475" w:hanging="361"/>
      </w:pPr>
      <w:rPr>
        <w:rFonts w:hint="default"/>
        <w:lang w:val="pt-PT" w:eastAsia="en-US" w:bidi="ar-SA"/>
      </w:rPr>
    </w:lvl>
    <w:lvl w:ilvl="8" w:tplc="CEF41F06">
      <w:numFmt w:val="bullet"/>
      <w:lvlText w:val="•"/>
      <w:lvlJc w:val="left"/>
      <w:pPr>
        <w:ind w:left="3849" w:hanging="361"/>
      </w:pPr>
      <w:rPr>
        <w:rFonts w:hint="default"/>
        <w:lang w:val="pt-PT" w:eastAsia="en-US" w:bidi="ar-SA"/>
      </w:rPr>
    </w:lvl>
  </w:abstractNum>
  <w:abstractNum w:abstractNumId="3" w15:restartNumberingAfterBreak="0">
    <w:nsid w:val="58690252"/>
    <w:multiLevelType w:val="hybridMultilevel"/>
    <w:tmpl w:val="FFFFFFFF"/>
    <w:lvl w:ilvl="0" w:tplc="722A19CE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73503476">
      <w:numFmt w:val="bullet"/>
      <w:lvlText w:val="•"/>
      <w:lvlJc w:val="left"/>
      <w:pPr>
        <w:ind w:left="1216" w:hanging="361"/>
      </w:pPr>
      <w:rPr>
        <w:rFonts w:hint="default"/>
        <w:lang w:val="pt-PT" w:eastAsia="en-US" w:bidi="ar-SA"/>
      </w:rPr>
    </w:lvl>
    <w:lvl w:ilvl="2" w:tplc="02C47A50">
      <w:numFmt w:val="bullet"/>
      <w:lvlText w:val="•"/>
      <w:lvlJc w:val="left"/>
      <w:pPr>
        <w:ind w:left="1592" w:hanging="361"/>
      </w:pPr>
      <w:rPr>
        <w:rFonts w:hint="default"/>
        <w:lang w:val="pt-PT" w:eastAsia="en-US" w:bidi="ar-SA"/>
      </w:rPr>
    </w:lvl>
    <w:lvl w:ilvl="3" w:tplc="AA228782">
      <w:numFmt w:val="bullet"/>
      <w:lvlText w:val="•"/>
      <w:lvlJc w:val="left"/>
      <w:pPr>
        <w:ind w:left="1968" w:hanging="361"/>
      </w:pPr>
      <w:rPr>
        <w:rFonts w:hint="default"/>
        <w:lang w:val="pt-PT" w:eastAsia="en-US" w:bidi="ar-SA"/>
      </w:rPr>
    </w:lvl>
    <w:lvl w:ilvl="4" w:tplc="0E621496">
      <w:numFmt w:val="bullet"/>
      <w:lvlText w:val="•"/>
      <w:lvlJc w:val="left"/>
      <w:pPr>
        <w:ind w:left="2344" w:hanging="361"/>
      </w:pPr>
      <w:rPr>
        <w:rFonts w:hint="default"/>
        <w:lang w:val="pt-PT" w:eastAsia="en-US" w:bidi="ar-SA"/>
      </w:rPr>
    </w:lvl>
    <w:lvl w:ilvl="5" w:tplc="1EBA5196">
      <w:numFmt w:val="bullet"/>
      <w:lvlText w:val="•"/>
      <w:lvlJc w:val="left"/>
      <w:pPr>
        <w:ind w:left="2721" w:hanging="361"/>
      </w:pPr>
      <w:rPr>
        <w:rFonts w:hint="default"/>
        <w:lang w:val="pt-PT" w:eastAsia="en-US" w:bidi="ar-SA"/>
      </w:rPr>
    </w:lvl>
    <w:lvl w:ilvl="6" w:tplc="58147C20">
      <w:numFmt w:val="bullet"/>
      <w:lvlText w:val="•"/>
      <w:lvlJc w:val="left"/>
      <w:pPr>
        <w:ind w:left="3097" w:hanging="361"/>
      </w:pPr>
      <w:rPr>
        <w:rFonts w:hint="default"/>
        <w:lang w:val="pt-PT" w:eastAsia="en-US" w:bidi="ar-SA"/>
      </w:rPr>
    </w:lvl>
    <w:lvl w:ilvl="7" w:tplc="671C2726">
      <w:numFmt w:val="bullet"/>
      <w:lvlText w:val="•"/>
      <w:lvlJc w:val="left"/>
      <w:pPr>
        <w:ind w:left="3473" w:hanging="361"/>
      </w:pPr>
      <w:rPr>
        <w:rFonts w:hint="default"/>
        <w:lang w:val="pt-PT" w:eastAsia="en-US" w:bidi="ar-SA"/>
      </w:rPr>
    </w:lvl>
    <w:lvl w:ilvl="8" w:tplc="3864AF8C">
      <w:numFmt w:val="bullet"/>
      <w:lvlText w:val="•"/>
      <w:lvlJc w:val="left"/>
      <w:pPr>
        <w:ind w:left="3849" w:hanging="361"/>
      </w:pPr>
      <w:rPr>
        <w:rFonts w:hint="default"/>
        <w:lang w:val="pt-PT" w:eastAsia="en-US" w:bidi="ar-SA"/>
      </w:rPr>
    </w:lvl>
  </w:abstractNum>
  <w:num w:numId="1" w16cid:durableId="1693070683">
    <w:abstractNumId w:val="0"/>
  </w:num>
  <w:num w:numId="2" w16cid:durableId="156000059">
    <w:abstractNumId w:val="2"/>
  </w:num>
  <w:num w:numId="3" w16cid:durableId="719477617">
    <w:abstractNumId w:val="3"/>
  </w:num>
  <w:num w:numId="4" w16cid:durableId="1054232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revisionView w:inkAnnotations="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38E7"/>
    <w:rsid w:val="006D38E7"/>
    <w:rsid w:val="00D96BD6"/>
    <w:rsid w:val="00E21A43"/>
    <w:rsid w:val="00E4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D38B47"/>
  <w15:docId w15:val="{47637ED0-F184-5148-93DC-1B176A857677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eepNext w:val="0"/>
      <w:widowControl/>
      <w:spacing w:before="0" w:after="100" w:line="252" w:lineRule="auto"/>
      <w:ind w:left="0" w:right="0" w:firstLine="0"/>
    </w:pPr>
    <w:rPr>
      <w:rFonts w:ascii="Calibri" w:eastAsia="Calibri" w:hAnsi="Calibri" w:cs="Calibri"/>
      <w:b w:val="0"/>
      <w:i w:val="0"/>
      <w:color w:val="000000"/>
      <w:sz w:val="21"/>
      <w:lang w:val="pt-PT"/>
      <w:lang w:val="pt-BR"/>
    </w:rPr>
  </w:style>
  <w:style w:type="paragraph" w:styleId="Ttulo1">
    <w:name w:val="heading 1"/>
    <w:basedOn w:val="Normal"/>
    <w:uiPriority w:val="9"/>
    <w:qFormat/>
    <w:pPr>
      <w:keepNext/>
      <w:widowControl/>
      <w:spacing w:before="200" w:after="140" w:line="252" w:lineRule="auto"/>
      <w:ind w:left="0" w:right="0" w:firstLine="0"/>
      <w:outlineLvl w:val="0"/>
    </w:pPr>
    <w:rPr>
      <w:rFonts w:ascii="Calibri" w:hAnsi="Calibri"/>
      <w:b/>
      <w:bCs/>
      <w:i w:val="0"/>
      <w:color w:val="000000"/>
      <w:sz w:val="30"/>
      <w:szCs w:val="32"/>
      <w:lang w:val="pt-BR"/>
    </w:rPr>
  </w:style>
  <w:style w:type="paragraph" w:styleId="Ttulo2">
    <w:name w:val="heading 2"/>
    <w:basedOn w:val="Normal"/>
    <w:uiPriority w:val="9"/>
    <w:unhideWhenUsed/>
    <w:qFormat/>
    <w:pPr>
      <w:keepNext/>
      <w:widowControl/>
      <w:spacing w:before="200" w:after="140" w:line="252" w:lineRule="auto"/>
      <w:ind w:left="0" w:right="0" w:firstLine="0"/>
      <w:outlineLvl w:val="1"/>
    </w:pPr>
    <w:rPr>
      <w:rFonts w:ascii="Calibri" w:hAnsi="Calibri"/>
      <w:b/>
      <w:bCs/>
      <w:i w:val="0"/>
      <w:color w:val="000000"/>
      <w:sz w:val="24"/>
      <w:szCs w:val="24"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04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620" w:hanging="477"/>
    </w:pPr>
  </w:style>
  <w:style w:type="paragraph" w:customStyle="1" w:styleId="TableParagraph">
    <w:name w:val="Table Paragraph"/>
    <w:basedOn w:val="Normal"/>
    <w:uiPriority w:val="1"/>
    <w:qFormat/>
    <w:pPr>
      <w:ind w:left="830" w:hanging="361"/>
      <w:jc w:val="both"/>
    </w:pPr>
  </w:style>
  <w:style w:type="paragraph" w:customStyle="1" w:styleId="Title">
    <w:name w:val="Title"/>
    <w:basedOn w:val="Normal"/>
    <w:pPr>
      <w:keepNext/>
      <w:widowControl/>
      <w:spacing w:before="0" w:after="100" w:line="252" w:lineRule="auto"/>
      <w:ind w:left="0" w:right="0" w:firstLine="0"/>
    </w:pPr>
    <w:rPr>
      <w:rFonts w:ascii="Calibri" w:hAnsi="Calibri"/>
      <w:b/>
      <w:i w:val="0"/>
      <w:color w:val="000000"/>
      <w:sz w:val="40"/>
      <w:lang w:val="pt-BR"/>
    </w:rPr>
  </w:style>
  <w:style w:type="paragraph" w:customStyle="1" w:styleId="Subtitle">
    <w:name w:val="Subtitle"/>
    <w:basedOn w:val="Normal"/>
    <w:pPr>
      <w:keepNext/>
      <w:widowControl/>
      <w:spacing w:before="0" w:after="100" w:line="252" w:lineRule="auto"/>
      <w:ind w:left="0" w:right="0" w:firstLine="0"/>
    </w:pPr>
    <w:rPr>
      <w:rFonts w:ascii="Calibri" w:hAnsi="Calibri"/>
      <w:b w:val="0"/>
      <w:i w:val="0"/>
      <w:color w:val="000000"/>
      <w:sz w:val="26"/>
      <w:lang w:val="pt-BR"/>
    </w:rPr>
  </w:style>
  <w:style w:type="paragraph" w:customStyle="1" w:styleId="Orientação">
    <w:name w:val="Orientação"/>
    <w:basedOn w:val="Normal"/>
    <w:pPr>
      <w:keepNext w:val="0"/>
      <w:widowControl/>
      <w:spacing w:before="0" w:after="100" w:line="252" w:lineRule="auto"/>
      <w:ind w:left="0" w:right="0" w:firstLine="0"/>
    </w:pPr>
    <w:rPr>
      <w:rFonts w:ascii="Calibri" w:hAnsi="Calibri"/>
      <w:b w:val="0"/>
      <w:i w:val="0"/>
      <w:color w:val="404040"/>
      <w:sz w:val="20"/>
      <w:lang w:val="pt-BR"/>
    </w:rPr>
  </w:style>
  <w:style w:type="paragraph" w:customStyle="1" w:styleId="Campoeditável">
    <w:name w:val="Campo editável"/>
    <w:basedOn w:val="Normal"/>
    <w:pPr>
      <w:keepNext w:val="0"/>
      <w:widowControl/>
      <w:spacing w:before="0" w:after="100" w:line="252" w:lineRule="auto"/>
      <w:ind w:left="0" w:right="0" w:firstLine="0"/>
    </w:pPr>
    <w:rPr>
      <w:rFonts w:ascii="Calibri" w:hAnsi="Calibri"/>
      <w:b w:val="0"/>
      <w:i/>
      <w:color w:val="234E70"/>
      <w:sz w:val="21"/>
      <w:lang w:val="pt-BR"/>
    </w:rPr>
  </w:style>
  <w:style w:type="paragraph" w:customStyle="1" w:styleId="Fonte">
    <w:name w:val="Fonte"/>
    <w:basedOn w:val="Normal"/>
    <w:pPr>
      <w:keepNext w:val="0"/>
      <w:widowControl/>
      <w:spacing w:before="0" w:after="100" w:line="252" w:lineRule="auto"/>
      <w:ind w:left="0" w:right="0" w:firstLine="0"/>
    </w:pPr>
    <w:rPr>
      <w:rFonts w:ascii="Calibri" w:hAnsi="Calibri"/>
      <w:b w:val="0"/>
      <w:i w:val="0"/>
      <w:color w:val="404040"/>
      <w:sz w:val="18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7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1.jpeg"/><Relationship Id="rId16" Type="http://schemas.openxmlformats.org/officeDocument/2006/relationships/footer" Target="footer4.xml"/><Relationship Id="rId17" Type="http://schemas.openxmlformats.org/officeDocument/2006/relationships/header" Target="header4.xml"/><Relationship Id="rId18" Type="http://schemas.openxmlformats.org/officeDocument/2006/relationships/hyperlink" Target="https://www.gov.br/governodigital/pt-br/privacidade-e-seguranca/ppsi-2.0/arquivos/modelo-de-politica-de-seguranca-da-informacao-v1-0-14mai2026.pdf" TargetMode="External"/><Relationship Id="rId19" Type="http://schemas.openxmlformats.org/officeDocument/2006/relationships/hyperlink" Target="https://static.voegol.com.br/voegol/2025-06-27/PO-DTI-SC-003-Pol%C3%ADtica%20de%20Seguran%C3%A7a%20da%20Informa%C3%A7%C3%A3o%20para%20Terceiro_r01.pdf" TargetMode="External"/><Relationship Id="rId20" Type="http://schemas.openxmlformats.org/officeDocument/2006/relationships/hyperlink" Target="https://www.aenabrasil.com.br/sites/Satellite?blobcol=urldata&amp;blobkey=id&amp;blobtable=MungoBlobs&amp;blobwhere=1576863113268&amp;ssbinary=true" TargetMode="External"/><Relationship Id="rId21" Type="http://schemas.openxmlformats.org/officeDocument/2006/relationships/hyperlink" Target="https://www.planalto.gov.br/ccivil_03/_ato2015-2018/2018/lei/l13709.htm" TargetMode="External"/><Relationship Id="rId22" Type="http://schemas.openxmlformats.org/officeDocument/2006/relationships/hyperlink" Target="https://www.rtca.org/security/" TargetMode="External"/><Relationship Id="rId23" Type="http://schemas.openxmlformats.org/officeDocument/2006/relationships/hyperlink" Target="https://www.icao.int/safety-management/guidance-materi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Arthur, Isadora, Caio, Higor, Sabrina, Gustavo</dc:creator>
  <cp:lastModifiedBy>Equipe AeroLog</cp:lastModifiedBy>
  <cp:revision>2</cp:revision>
  <dcterms:created xsi:type="dcterms:W3CDTF">2026-09-09T16:50:00Z</dcterms:created>
  <dcterms:modified xsi:type="dcterms:W3CDTF">2026-09-09T16:50:00Z</dcterms:modified>
  <dc:title>Política de Segurança da Informação da AeroLog</dc:title>
  <dc:subject>Modelo base acadêmico editável</dc:subject>
  <dc:description/>
  <cp:keywords>AeroLog, PSI, modelo base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2026-08-20T00:00:00Z</vt:filetime>
  </property>
</Properties>
</file>