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428108"/>
            <wp:docPr id="1" name="Picture 1" descr="Logotipo UNIPAM do documento acadêmico de referênci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28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/>
          <w:sz w:val="26"/>
        </w:rPr>
        <w:t>UNIPAM</w:t>
      </w:r>
    </w:p>
    <w:p>
      <w:pPr>
        <w:spacing w:before="0" w:after="80"/>
        <w:jc w:val="center"/>
      </w:pPr>
      <w:r>
        <w:rPr>
          <w:b/>
          <w:sz w:val="24"/>
        </w:rPr>
        <w:t>CURSO DE SISTEMAS DE INFORMAÇÃO</w:t>
      </w:r>
    </w:p>
    <w:p>
      <w:pPr>
        <w:spacing w:before="0" w:after="80"/>
        <w:jc w:val="center"/>
      </w:pPr>
      <w:r>
        <w:rPr>
          <w:b w:val="0"/>
          <w:sz w:val="24"/>
        </w:rPr>
        <w:t>Auditoria e Segurança de Sistemas</w:t>
      </w:r>
    </w:p>
    <w:p>
      <w:pPr>
        <w:spacing w:before="0" w:after="0"/>
        <w:jc w:val="center"/>
      </w:pPr>
      <w:r>
        <w:rPr>
          <w:b w:val="0"/>
          <w:sz w:val="21"/>
        </w:rPr>
        <w:t>Turma / período: [preencher]</w:t>
      </w:r>
    </w:p>
    <w:p>
      <w:pPr>
        <w:spacing w:before="640" w:after="160"/>
        <w:jc w:val="center"/>
      </w:pPr>
      <w:r>
        <w:rPr>
          <w:b/>
          <w:sz w:val="22"/>
        </w:rPr>
        <w:t>EQUIPE</w:t>
      </w:r>
    </w:p>
    <w:p>
      <w:pPr>
        <w:spacing w:before="0" w:after="0"/>
        <w:jc w:val="center"/>
      </w:pPr>
      <w:r>
        <w:rPr>
          <w:b w:val="0"/>
          <w:sz w:val="24"/>
        </w:rPr>
        <w:t>Arthur • Isadora • Caio</w:t>
        <w:br/>
        <w:t>Higor • Sabrina • Gustavo</w:t>
      </w:r>
    </w:p>
    <w:p>
      <w:pPr>
        <w:pStyle w:val="Title"/>
        <w:spacing w:before="1160" w:after="180"/>
        <w:jc w:val="center"/>
      </w:pPr>
      <w:r>
        <w:t>Política de Gestão de Riscos</w:t>
      </w:r>
    </w:p>
    <w:p>
      <w:pPr>
        <w:pStyle w:val="Subtitle"/>
        <w:spacing w:before="0" w:after="140"/>
        <w:jc w:val="center"/>
      </w:pPr>
      <w:r>
        <w:t>AeroLog Transportes Aéreos</w:t>
      </w:r>
    </w:p>
    <w:p>
      <w:pPr>
        <w:spacing w:before="0" w:after="0"/>
        <w:jc w:val="center"/>
      </w:pPr>
      <w:r>
        <w:t>PGR — Gestão de riscos de segurança da informação</w:t>
      </w:r>
    </w:p>
    <w:p>
      <w:pPr>
        <w:spacing w:before="2400" w:after="80"/>
        <w:jc w:val="center"/>
      </w:pPr>
      <w:r>
        <w:rPr>
          <w:b w:val="0"/>
          <w:sz w:val="22"/>
        </w:rPr>
        <w:t>[Cidade]</w:t>
      </w:r>
    </w:p>
    <w:p>
      <w:pPr>
        <w:spacing w:before="0" w:after="0"/>
        <w:jc w:val="center"/>
      </w:pPr>
      <w:r>
        <w:rPr>
          <w:b w:val="0"/>
          <w:sz w:val="22"/>
        </w:rPr>
        <w:t>2026</w:t>
      </w:r>
    </w:p>
    <w:p>
      <w:pPr>
        <w:pageBreakBefore/>
        <w:spacing w:before="0" w:after="0"/>
        <w:jc w:val="center"/>
      </w:pPr>
      <w:r>
        <w:rPr>
          <w:b w:val="0"/>
          <w:sz w:val="24"/>
        </w:rPr>
        <w:t>Arthur • Isadora • Caio</w:t>
        <w:br/>
        <w:t>Higor • Sabrina • Gustavo</w:t>
      </w:r>
    </w:p>
    <w:p>
      <w:pPr>
        <w:pStyle w:val="Title"/>
        <w:spacing w:before="1700" w:after="180"/>
        <w:jc w:val="center"/>
      </w:pPr>
      <w:r>
        <w:t>Política de Gestão de Riscos</w:t>
      </w:r>
    </w:p>
    <w:p>
      <w:pPr>
        <w:pStyle w:val="Subtitle"/>
        <w:spacing w:before="0" w:after="800"/>
        <w:jc w:val="center"/>
      </w:pPr>
      <w:r>
        <w:t>AeroLog Transportes Aéreos</w:t>
      </w:r>
    </w:p>
    <w:p>
      <w:pPr>
        <w:spacing w:after="240"/>
        <w:ind w:left="4252"/>
      </w:pPr>
      <w:r>
        <w:t>Documento interno para identificação, avaliação, tratamento e monitoramento dos riscos de segurança da informação da AeroLog Transportes Aéreos.</w:t>
      </w:r>
    </w:p>
    <w:p>
      <w:pPr>
        <w:ind w:left="4252"/>
      </w:pPr>
      <w:r>
        <w:t>Classificação: Uso interno</w:t>
      </w:r>
    </w:p>
    <w:p>
      <w:pPr>
        <w:ind w:left="4252"/>
      </w:pPr>
      <w:r>
        <w:t>Versão: 0.3</w:t>
      </w:r>
    </w:p>
    <w:p>
      <w:pPr>
        <w:ind w:left="4252"/>
      </w:pPr>
      <w:r>
        <w:t>Data de emissão: 2026</w:t>
      </w:r>
    </w:p>
    <w:p>
      <w:pPr>
        <w:spacing w:before="600" w:after="120"/>
        <w:jc w:val="center"/>
      </w:pPr>
      <w:r>
        <w:t>Responsável pela elaboração: Gestão de Segurança da Informação</w:t>
      </w:r>
    </w:p>
    <w:p>
      <w:pPr>
        <w:spacing w:before="0" w:after="120"/>
        <w:jc w:val="center"/>
      </w:pPr>
      <w:r>
        <w:t>Aprovação: Alta Administração</w:t>
      </w:r>
    </w:p>
    <w:p>
      <w:pPr>
        <w:spacing w:before="1960" w:after="80"/>
        <w:jc w:val="center"/>
      </w:pPr>
      <w:r>
        <w:t>Uso interno</w:t>
      </w:r>
    </w:p>
    <w:p>
      <w:pPr>
        <w:spacing w:before="0" w:after="0"/>
        <w:jc w:val="center"/>
      </w:pPr>
      <w:r>
        <w:rPr>
          <w:b w:val="0"/>
          <w:sz w:val="22"/>
        </w:rPr>
        <w:t>2026</w:t>
      </w:r>
    </w:p>
    <w:p>
      <w:pPr>
        <w:sectPr>
          <w:headerReference w:type="default" r:id="rId7"/>
          <w:footerReference w:type="default" r:id="rId10"/>
          <w:headerReference w:type="first" r:id="rId11"/>
          <w:footerReference w:type="first" r:id="rId12"/>
          <w:headerReference w:type="even" r:id="rId13"/>
          <w:footerReference w:type="even" r:id="rId14"/>
          <w:pgSz w:w="11906" w:h="16838"/>
          <w:pgMar w:top="1020" w:right="1134" w:bottom="1020" w:left="1134" w:header="397" w:footer="454" w:gutter="0"/>
          <w:cols w:space="720"/>
        </w:sectPr>
      </w:pPr>
    </w:p>
    <w:p>
      <w:pPr>
        <w:pStyle w:val="Ttulo1"/>
        <w:pageBreakBefore/>
      </w:pPr>
      <w:r>
        <w:t>1. Objetivo e Escopo</w:t>
      </w:r>
    </w:p>
    <w:p>
      <w:pPr>
        <w:pStyle w:val="Normal"/>
      </w:pPr>
      <w:r>
        <w:t>Esta Política de Gestão de Riscos estabelece os critérios para identificar, analisar e avaliar os riscos de segurança da informação da AeroLog Transportes Aéreos. A avaliação busca apoiar decisões proporcionais à probabilidade de ocorrência e à gravidade das consequências para as operações da empresa.</w:t>
      </w:r>
    </w:p>
    <w:p>
      <w:pPr>
        <w:pStyle w:val="Normal"/>
      </w:pPr>
      <w:r>
        <w:t>O escopo abrange o sistema de reservas, a emissão de passagens por meio do GDS, os dados dos passageiros, os 50 servidores locais, os sistemas legados de controle de voo, os sistemas críticos embarcados nas aeronaves e os acessos utilizados no suporte internacional aos softwares de navegação. Também são considerados os processos de transporte de cargas e passageiros que dependem desses ativos.</w:t>
      </w:r>
    </w:p>
    <w:p>
      <w:pPr>
        <w:pStyle w:val="Normal"/>
      </w:pPr>
      <w:r>
        <w:t>A análise contempla cinco cenários prioritários da AeroLog: ataques de negação de serviço contra o sistema de reservas, fraude na emissão de passagens, comprometimento relacionado ao suporte externo, falha de sistemas legados de controle de voo e comprometimento de sistemas críticos embarcados.</w:t>
      </w:r>
    </w:p>
    <w:p>
      <w:pPr>
        <w:pStyle w:val="Normal"/>
      </w:pPr>
      <w:r>
        <w:rPr>
          <w:b/>
        </w:rPr>
        <w:t xml:space="preserve">Base da classificação. </w:t>
      </w:r>
      <w:r>
        <w:t>As classificações são qualitativas e utilizam os registros e as evidências disponíveis. Frequência de incidentes, perdas financeiras, duração de indisponibilidades e controles existentes devem ser incorporados às revisões periódicas sempre que novos dados forem produzidos. Uma medida de segurança somente será considerada implantada quando houver evidência verificável de sua execução.</w:t>
      </w:r>
    </w:p>
    <w:p>
      <w:pPr>
        <w:pStyle w:val="Ttulo1"/>
        <w:pageBreakBefore/>
      </w:pPr>
      <w:r>
        <w:t>2. Metodologia de Avaliação</w:t>
      </w:r>
    </w:p>
    <w:p>
      <w:pPr>
        <w:pStyle w:val="Normal"/>
      </w:pPr>
      <w:r>
        <w:t>A avaliação utiliza uma abordagem qualitativa. Cada risco é descrito pelo evento indesejado e pelo ativo ou processo afetado, recebe uma classificação de probabilidade e impacto e, em seguida, é posicionado na matriz de risco. A justificativa registra as informações disponíveis sobre a operação da AeroLog e explicita as incertezas que influenciam a classificação.</w:t>
      </w:r>
    </w:p>
    <w:p>
      <w:pPr>
        <w:pStyle w:val="Normal"/>
      </w:pPr>
      <w:r>
        <w:t>As escalas padronizam a avaliação dos riscos e permitem comparar cenários distintos. Os níveis atribuídos devem ser revistos quando houver novos registros de incidentes, mudanças nos ativos ou evidências sobre a eficácia dos controles.</w:t>
      </w:r>
    </w:p>
    <w:p>
      <w:pPr>
        <w:pStyle w:val="Ttulo2"/>
      </w:pPr>
      <w:r>
        <w:t>Escala de probabilidade</w:t>
      </w:r>
    </w:p>
    <w:p>
      <w:pPr>
        <w:pStyle w:val="Normal"/>
      </w:pPr>
      <w:r>
        <w:t>A probabilidade expressa a possibilidade de ocorrência do risco nas condições operacionais e tecnológicas da AeroLog. A classificação considera ameaças registradas, exposições conhecidas e a quantidade de evidência disponível.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5"/>
        <w:gridCol w:w="6973"/>
      </w:tblGrid>
      <w:tr>
        <w:trPr>
          <w:cantSplit/>
          <w:tblHeader/>
        </w:trPr>
        <w:tc>
          <w:tcPr>
            <w:tcW w:type="dxa" w:w="2665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Nível de probabilidade</w:t>
            </w:r>
          </w:p>
        </w:tc>
        <w:tc>
          <w:tcPr>
            <w:tcW w:type="dxa" w:w="6973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Critério de classificação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Baixa</w:t>
            </w:r>
          </w:p>
        </w:tc>
        <w:tc>
          <w:tcPr>
            <w:tcW w:type="dxa" w:w="6973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t>O evento é plausível, mas não há registro disponível de ocorrência anterior nem exposição específica que indique repetição frequente. A falta de histórico, sozinha, não basta para classificar um risco como baixo.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Média</w:t>
            </w:r>
          </w:p>
        </w:tc>
        <w:tc>
          <w:tcPr>
            <w:tcW w:type="dxa" w:w="6973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Existem condições, dependências ou características tecnológicas que podem permitir o evento, mas não há evidência suficiente para considerá-lo recorrente ou iminente.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Alta</w:t>
            </w:r>
          </w:p>
        </w:tc>
        <w:tc>
          <w:tcPr>
            <w:tcW w:type="dxa" w:w="6973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t>A ameaça ou tentativa já foi registrada, ou a exposição identificada sustenta uma possibilidade relevante de nova ocorrência.</w:t>
            </w:r>
          </w:p>
        </w:tc>
      </w:tr>
    </w:tbl>
    <w:p>
      <w:pPr>
        <w:pStyle w:val="Ttulo2"/>
      </w:pPr>
      <w:r>
        <w:t>Escala de impacto</w:t>
      </w:r>
    </w:p>
    <w:p>
      <w:pPr>
        <w:pStyle w:val="Normal"/>
      </w:pPr>
      <w:r>
        <w:t>O impacto representa a gravidade das consequências caso o evento ocorra. Para cada risco, considera-se a consequência mais grave sustentada pelas informações disponíveis sobre operações, segurança operacional, dados pessoais e efeitos financeiros ou reputacionais.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5"/>
        <w:gridCol w:w="6973"/>
      </w:tblGrid>
      <w:tr>
        <w:trPr>
          <w:cantSplit/>
          <w:tblHeader/>
        </w:trPr>
        <w:tc>
          <w:tcPr>
            <w:tcW w:type="dxa" w:w="2665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Nível de impacto</w:t>
            </w:r>
          </w:p>
        </w:tc>
        <w:tc>
          <w:tcPr>
            <w:tcW w:type="dxa" w:w="6973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Critério de classificação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Baixo</w:t>
            </w:r>
          </w:p>
        </w:tc>
        <w:tc>
          <w:tcPr>
            <w:tcW w:type="dxa" w:w="6973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O evento produz efeito localizado, de curta duração e com recuperação simples, sem comprometer um processo essencial, dados relevantes ou a segurança operacional.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Médio</w:t>
            </w:r>
          </w:p>
        </w:tc>
        <w:tc>
          <w:tcPr>
            <w:tcW w:type="dxa" w:w="6973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O evento prejudica um processo ou grupo de usuários de forma relevante, mas permanece restrito e pode ser recuperado sem interrupção grave das operações essenciais.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Alto</w:t>
            </w:r>
          </w:p>
        </w:tc>
        <w:tc>
          <w:tcPr>
            <w:tcW w:type="dxa" w:w="6973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O evento pode causar interrupção expressiva, fraude relevante, exposição de dados, perda financeira significativa ou dano importante à confiança dos clientes.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Crítico</w:t>
            </w:r>
          </w:p>
        </w:tc>
        <w:tc>
          <w:tcPr>
            <w:tcW w:type="dxa" w:w="6973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O evento pode comprometer gravemente uma operação essencial, a segurança operacional, um sistema crítico ou a continuidade de serviços indispensáveis.</w:t>
            </w:r>
          </w:p>
        </w:tc>
      </w:tr>
    </w:tbl>
    <w:p>
      <w:pPr>
        <w:pStyle w:val="Ttulo2"/>
        <w:keepNext/>
        <w:jc w:val="left"/>
      </w:pPr>
      <w:r>
        <w:t>Matriz de classificação de riscos</w:t>
      </w:r>
    </w:p>
    <w:p>
      <w:pPr>
        <w:pStyle w:val="Normal"/>
        <w:keepNext/>
      </w:pPr>
      <w:r>
        <w:t>A matriz classifica cada risco pelo cruzamento entre sua probabilidade estimada e seu impacto potencial. O resultado é um nível baixo, médio, alto ou crítico, utilizado para ordenar a análise e o tratamento. A posição na matriz deve sempre ser acompanhada da justificativa do risco, pois o cálculo não substitui a avaliação do contexto.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2835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Probabilidade / impacto</w:t>
            </w:r>
          </w:p>
        </w:tc>
        <w:tc>
          <w:tcPr>
            <w:tcW w:type="dxa" w:w="1701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Baixo</w:t>
            </w:r>
          </w:p>
        </w:tc>
        <w:tc>
          <w:tcPr>
            <w:tcW w:type="dxa" w:w="1701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Médio</w:t>
            </w:r>
          </w:p>
        </w:tc>
        <w:tc>
          <w:tcPr>
            <w:tcW w:type="dxa" w:w="1701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Alto</w:t>
            </w:r>
          </w:p>
        </w:tc>
        <w:tc>
          <w:tcPr>
            <w:tcW w:type="dxa" w:w="1701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Crítico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Baixa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Baixo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Baixo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Médio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Média</w:t>
            </w:r>
          </w:p>
        </w:tc>
        <w:tc>
          <w:tcPr>
            <w:tcW w:type="dxa" w:w="170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Baixo</w:t>
            </w:r>
          </w:p>
        </w:tc>
        <w:tc>
          <w:tcPr>
            <w:tcW w:type="dxa" w:w="170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Médio</w:t>
            </w:r>
          </w:p>
        </w:tc>
        <w:tc>
          <w:tcPr>
            <w:tcW w:type="dxa" w:w="170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Alto</w:t>
            </w:r>
          </w:p>
        </w:tc>
        <w:tc>
          <w:tcPr>
            <w:tcW w:type="dxa" w:w="170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Crítico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Alta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Médio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Alto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Crítico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Crítico</w:t>
            </w:r>
          </w:p>
        </w:tc>
      </w:tr>
    </w:tbl>
    <w:p>
      <w:pPr>
        <w:pStyle w:val="Ttulo2"/>
      </w:pPr>
      <w:r>
        <w:t>Critérios de priorização</w:t>
      </w:r>
    </w:p>
    <w:p>
      <w:pPr>
        <w:pStyle w:val="Normal"/>
      </w:pPr>
      <w:r>
        <w:t>A prioridade aumenta conforme o nível indicado pela matriz. Quando dois riscos tiverem o mesmo nível, terá precedência aquele com maior impacto. Persistindo o empate, devem ser considerados a abrangência dos processos afetados e o potencial de atingir operações essenciais.</w:t>
      </w:r>
    </w:p>
    <w:p>
      <w:pPr>
        <w:pStyle w:val="Normal"/>
      </w:pPr>
    </w:p>
    <w:p>
      <w:pPr>
        <w:pStyle w:val="Normal"/>
        <w:spacing w:before="120" w:after="40"/>
        <w:keepNext/>
      </w:pPr>
      <w:r>
        <w:rPr>
          <w:b/>
        </w:rPr>
        <w:t>Risco baixo</w:t>
      </w:r>
    </w:p>
    <w:p>
      <w:pPr>
        <w:pStyle w:val="Normal"/>
      </w:pPr>
      <w:r>
        <w:rPr>
          <w:b/>
        </w:rPr>
        <w:t xml:space="preserve">Prioridade. </w:t>
      </w:r>
      <w:r>
        <w:t xml:space="preserve">Requer acompanhamento para confirmar que a exposição permanece limitada e que mudanças no ambiente não aumentaram sua gravidade. </w:t>
      </w:r>
      <w:r>
        <w:rPr>
          <w:b/>
        </w:rPr>
        <w:t xml:space="preserve">Mitigação inicial. </w:t>
      </w:r>
      <w:r>
        <w:t>Manter controles básicos, registrar ocorrências e revisar periodicamente os fatores de probabilidade e impacto.</w:t>
      </w:r>
    </w:p>
    <w:p>
      <w:pPr>
        <w:pStyle w:val="Normal"/>
      </w:pPr>
    </w:p>
    <w:p>
      <w:pPr>
        <w:pStyle w:val="Normal"/>
        <w:spacing w:before="120" w:after="40"/>
        <w:keepNext/>
      </w:pPr>
      <w:r>
        <w:rPr>
          <w:b/>
        </w:rPr>
        <w:t>Risco médio</w:t>
      </w:r>
    </w:p>
    <w:p>
      <w:pPr>
        <w:pStyle w:val="Normal"/>
      </w:pPr>
      <w:r>
        <w:rPr>
          <w:b/>
        </w:rPr>
        <w:t xml:space="preserve">Prioridade. </w:t>
      </w:r>
      <w:r>
        <w:t xml:space="preserve">Deve entrar no planejamento de tratamento porque pode causar prejuízo relevante ou aumentar de nível se a exposição mudar. </w:t>
      </w:r>
      <w:r>
        <w:rPr>
          <w:b/>
        </w:rPr>
        <w:t xml:space="preserve">Mitigação inicial. </w:t>
      </w:r>
      <w:r>
        <w:t>Reduzir as condições que permitem o evento, definir um responsável e acompanhar evidências de funcionamento dos controles adotados.</w:t>
      </w:r>
    </w:p>
    <w:p>
      <w:pPr>
        <w:pStyle w:val="Normal"/>
      </w:pPr>
    </w:p>
    <w:p>
      <w:pPr>
        <w:pStyle w:val="Normal"/>
        <w:spacing w:before="120" w:after="40"/>
        <w:keepNext/>
      </w:pPr>
      <w:r>
        <w:rPr>
          <w:b/>
        </w:rPr>
        <w:t>Risco alto</w:t>
      </w:r>
    </w:p>
    <w:p>
      <w:pPr>
        <w:pStyle w:val="Normal"/>
      </w:pPr>
      <w:r>
        <w:rPr>
          <w:b/>
        </w:rPr>
        <w:t xml:space="preserve">Prioridade. </w:t>
      </w:r>
      <w:r>
        <w:t xml:space="preserve">Exige tratamento em curto prazo porque combina exposição relevante com consequências expressivas, ou apresenta impacto crítico mesmo com menor probabilidade. </w:t>
      </w:r>
      <w:r>
        <w:rPr>
          <w:b/>
        </w:rPr>
        <w:t xml:space="preserve">Mitigação inicial. </w:t>
      </w:r>
      <w:r>
        <w:t>Aplicar controles preventivos e detectivos adequados ao evento, restringir acessos quando aplicável e reforçar o monitoramento do ativo ou processo afetado.</w:t>
      </w:r>
    </w:p>
    <w:p>
      <w:pPr>
        <w:pStyle w:val="Normal"/>
      </w:pPr>
      <w:r>
        <w:t/>
      </w:r>
    </w:p>
    <w:p>
      <w:pPr>
        <w:pStyle w:val="Normal"/>
        <w:spacing w:before="120" w:after="40"/>
        <w:keepNext/>
      </w:pPr>
      <w:r>
        <w:rPr>
          <w:b/>
        </w:rPr>
        <w:t>Risco crítico</w:t>
      </w:r>
    </w:p>
    <w:p>
      <w:pPr>
        <w:pStyle w:val="Normal"/>
      </w:pPr>
      <w:r>
        <w:rPr>
          <w:b/>
        </w:rPr>
        <w:t xml:space="preserve">Prioridade. </w:t>
      </w:r>
      <w:r>
        <w:t xml:space="preserve">Exige decisão imediata porque pode interromper serviços essenciais, comprometer a segurança operacional ou produzir danos graves. </w:t>
      </w:r>
      <w:r>
        <w:rPr>
          <w:b/>
        </w:rPr>
        <w:t xml:space="preserve">Mitigação inicial. </w:t>
      </w:r>
      <w:r>
        <w:t>Reduzir a exposição sem demora, adotar barreiras adicionais, preparar resposta ao evento e acompanhar a execução das medidas pela Alta Administração.</w:t>
      </w:r>
    </w:p>
    <w:p>
      <w:pPr>
        <w:pStyle w:val="Normal"/>
      </w:pPr>
      <w:r>
        <w:t>As classificações representam o risco inerente ao cenário descrito. Controles apenas propostos não reduzem o nível atual; uma avaliação residual somente poderá ser realizada depois que a medida correspondente estiver implantada e verificada.</w:t>
      </w:r>
    </w:p>
    <w:p>
      <w:pPr>
        <w:pStyle w:val="Ttulo1"/>
        <w:pageBreakBefore/>
      </w:pPr>
      <w:r>
        <w:t>3. Identificação e Avaliação dos Riscos</w:t>
      </w:r>
    </w:p>
    <w:p>
      <w:pPr>
        <w:pStyle w:val="Normal"/>
      </w:pPr>
      <w:r>
        <w:t>O registro inicial contém os cinco riscos prioritários deste escopo. Cada item mantém um identificador único, descreve o evento analisado e indica o ativo ou processo diretamente afetado. As classificações seguem os critérios definidos na seção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52"/>
        <w:gridCol w:w="3005"/>
        <w:gridCol w:w="2381"/>
        <w:gridCol w:w="1134"/>
        <w:gridCol w:w="1247"/>
        <w:gridCol w:w="1219"/>
      </w:tblGrid>
      <w:tr>
        <w:trPr>
          <w:cantSplit/>
          <w:tblHeader/>
        </w:trPr>
        <w:tc>
          <w:tcPr>
            <w:tcW w:type="dxa" w:w="652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3005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Risco</w:t>
            </w:r>
          </w:p>
        </w:tc>
        <w:tc>
          <w:tcPr>
            <w:tcW w:type="dxa" w:w="2381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Ativo / processo</w:t>
            </w:r>
          </w:p>
        </w:tc>
        <w:tc>
          <w:tcPr>
            <w:tcW w:type="dxa" w:w="1134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Prob.</w:t>
            </w:r>
          </w:p>
        </w:tc>
        <w:tc>
          <w:tcPr>
            <w:tcW w:type="dxa" w:w="1247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Impacto</w:t>
            </w:r>
          </w:p>
        </w:tc>
        <w:tc>
          <w:tcPr>
            <w:tcW w:type="dxa" w:w="1219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Nível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R01</w:t>
            </w:r>
          </w:p>
        </w:tc>
        <w:tc>
          <w:tcPr>
            <w:tcW w:type="dxa" w:w="300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DDoS contra o sistema de reservas</w:t>
            </w:r>
          </w:p>
        </w:tc>
        <w:tc>
          <w:tcPr>
            <w:tcW w:type="dxa" w:w="238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Reservas</w:t>
            </w:r>
          </w:p>
        </w:tc>
        <w:tc>
          <w:tcPr>
            <w:tcW w:type="dxa" w:w="113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Alta</w:t>
            </w:r>
          </w:p>
        </w:tc>
        <w:tc>
          <w:tcPr>
            <w:tcW w:type="dxa" w:w="124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Alto</w:t>
            </w:r>
          </w:p>
        </w:tc>
        <w:tc>
          <w:tcPr>
            <w:tcW w:type="dxa" w:w="121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Crítico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R02</w:t>
            </w:r>
          </w:p>
        </w:tc>
        <w:tc>
          <w:tcPr>
            <w:tcW w:type="dxa" w:w="3005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Fraude na emissão de passagens via GDS</w:t>
            </w:r>
          </w:p>
        </w:tc>
        <w:tc>
          <w:tcPr>
            <w:tcW w:type="dxa" w:w="238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Emissão de passagens / GDS</w:t>
            </w:r>
          </w:p>
        </w:tc>
        <w:tc>
          <w:tcPr>
            <w:tcW w:type="dxa" w:w="113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Alta</w:t>
            </w:r>
          </w:p>
        </w:tc>
        <w:tc>
          <w:tcPr>
            <w:tcW w:type="dxa" w:w="1247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Alto</w:t>
            </w:r>
          </w:p>
        </w:tc>
        <w:tc>
          <w:tcPr>
            <w:tcW w:type="dxa" w:w="1219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Crítico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R03</w:t>
            </w:r>
          </w:p>
        </w:tc>
        <w:tc>
          <w:tcPr>
            <w:tcW w:type="dxa" w:w="300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Comprometimento de sistemas por suporte externo</w:t>
            </w:r>
          </w:p>
        </w:tc>
        <w:tc>
          <w:tcPr>
            <w:tcW w:type="dxa" w:w="238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Acesso de fornecedores / sistemas de navegação</w:t>
            </w:r>
          </w:p>
        </w:tc>
        <w:tc>
          <w:tcPr>
            <w:tcW w:type="dxa" w:w="113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Média</w:t>
            </w:r>
          </w:p>
        </w:tc>
        <w:tc>
          <w:tcPr>
            <w:tcW w:type="dxa" w:w="124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Alto</w:t>
            </w:r>
          </w:p>
        </w:tc>
        <w:tc>
          <w:tcPr>
            <w:tcW w:type="dxa" w:w="121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Alto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R04</w:t>
            </w:r>
          </w:p>
        </w:tc>
        <w:tc>
          <w:tcPr>
            <w:tcW w:type="dxa" w:w="3005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Falha de sistemas legados de controle de voo</w:t>
            </w:r>
          </w:p>
        </w:tc>
        <w:tc>
          <w:tcPr>
            <w:tcW w:type="dxa" w:w="238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Controle de voo / operações</w:t>
            </w:r>
          </w:p>
        </w:tc>
        <w:tc>
          <w:tcPr>
            <w:tcW w:type="dxa" w:w="113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Média</w:t>
            </w:r>
          </w:p>
        </w:tc>
        <w:tc>
          <w:tcPr>
            <w:tcW w:type="dxa" w:w="1247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Crítico</w:t>
            </w:r>
          </w:p>
        </w:tc>
        <w:tc>
          <w:tcPr>
            <w:tcW w:type="dxa" w:w="1219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Crítico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R05</w:t>
            </w:r>
          </w:p>
        </w:tc>
        <w:tc>
          <w:tcPr>
            <w:tcW w:type="dxa" w:w="300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Comprometimento de sistema crítico embarcado</w:t>
            </w:r>
          </w:p>
        </w:tc>
        <w:tc>
          <w:tcPr>
            <w:tcW w:type="dxa" w:w="238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Sistemas embarcados / operações de voo</w:t>
            </w:r>
          </w:p>
        </w:tc>
        <w:tc>
          <w:tcPr>
            <w:tcW w:type="dxa" w:w="113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Baixa</w:t>
            </w:r>
          </w:p>
        </w:tc>
        <w:tc>
          <w:tcPr>
            <w:tcW w:type="dxa" w:w="124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Crítico</w:t>
            </w:r>
          </w:p>
        </w:tc>
        <w:tc>
          <w:tcPr>
            <w:tcW w:type="dxa" w:w="121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Alto</w:t>
            </w:r>
          </w:p>
        </w:tc>
      </w:tr>
    </w:tbl>
    <w:p>
      <w:pPr>
        <w:pStyle w:val="Ttulo2"/>
      </w:pPr>
      <w:r>
        <w:t>Justificativas das avaliações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4649"/>
        <w:gridCol w:w="4309"/>
      </w:tblGrid>
      <w:tr>
        <w:trPr>
          <w:cantSplit/>
          <w:tblHeader/>
        </w:trPr>
        <w:tc>
          <w:tcPr>
            <w:tcW w:type="dxa" w:w="680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4649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Base da avaliação</w:t>
            </w:r>
          </w:p>
        </w:tc>
        <w:tc>
          <w:tcPr>
            <w:tcW w:type="dxa" w:w="4309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Justificativa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R01</w:t>
            </w:r>
          </w:p>
        </w:tc>
        <w:tc>
          <w:tcPr>
            <w:tcW w:type="dxa" w:w="464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t>O sistema de reservas é alvo de ataques de negação de serviço, com maior exposição durante períodos de alta demanda.</w:t>
            </w:r>
          </w:p>
        </w:tc>
        <w:tc>
          <w:tcPr>
            <w:tcW w:type="dxa" w:w="430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Probabilidade alta porque a ameaça já foi observada. Impacto alto porque a indisponibilidade pode impedir consultas, reservas e emissões, afetando passageiros, atendimento e receita. A combinação resulta em risco crítico.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R02</w:t>
            </w:r>
          </w:p>
        </w:tc>
        <w:tc>
          <w:tcPr>
            <w:tcW w:type="dxa" w:w="4649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t>Foram registradas tentativas de fraude na emissão de passagens por meio do GDS.</w:t>
            </w:r>
          </w:p>
        </w:tc>
        <w:tc>
          <w:tcPr>
            <w:tcW w:type="dxa" w:w="4309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Probabilidade alta devido à existência de tentativas relatadas. Impacto alto pelos possíveis prejuízos financeiros, contestações, uso indevido do processo de emissão e dano à confiança dos clientes. O nível resultante é crítico.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R03</w:t>
            </w:r>
          </w:p>
        </w:tc>
        <w:tc>
          <w:tcPr>
            <w:tcW w:type="dxa" w:w="464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 AeroLog mantém contratos internacionais de suporte para softwares de navegação, o que cria uma relação de acesso e dependência externa.</w:t>
            </w:r>
          </w:p>
        </w:tc>
        <w:tc>
          <w:tcPr>
            <w:tcW w:type="dxa" w:w="430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t>Probabilidade média porque o vetor é plausível, mas não há registro disponível de incidente nem de falha específica de controle. O impacto é alto porque um acesso externo comprometido pode afetar sistemas relevantes para a operação. O nível resultante é alto.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R04</w:t>
            </w:r>
          </w:p>
        </w:tc>
        <w:tc>
          <w:tcPr>
            <w:tcW w:type="dxa" w:w="4649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t>Os sistemas legados de controle de voo integram o escopo da avaliação por sua relevância para a operação aérea.</w:t>
            </w:r>
          </w:p>
        </w:tc>
        <w:tc>
          <w:tcPr>
            <w:tcW w:type="dxa" w:w="4309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Probabilidade média porque a condição legada indica exposição plausível, embora não exista histórico de falhas. O impacto é crítico pelo potencial de comprometer o suporte às operações de voo e a segurança operacional. O nível é crítico.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R05</w:t>
            </w:r>
          </w:p>
        </w:tc>
        <w:tc>
          <w:tcPr>
            <w:tcW w:type="dxa" w:w="464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t>A AeroLog opera sistemas críticos embarcados cuja integridade e disponibilidade são essenciais às operações de voo.</w:t>
            </w:r>
          </w:p>
        </w:tc>
        <w:tc>
          <w:tcPr>
            <w:tcW w:type="dxa" w:w="430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Probabilidade baixa porque não há incidente relatado nem detalhe que comprove exposição frequente. O impacto é crítico porque a perda de integridade ou disponibilidade de um sistema embarcado pode afetar operações de voo e segurança operacional. O nível resultante é alto.</w:t>
            </w:r>
          </w:p>
        </w:tc>
      </w:tr>
    </w:tbl>
    <w:p>
      <w:pPr>
        <w:pStyle w:val="Ttulo2"/>
      </w:pPr>
      <w:r>
        <w:t>Distinção entre riscos relacionados</w:t>
      </w:r>
    </w:p>
    <w:p>
      <w:pPr>
        <w:pStyle w:val="Normal"/>
      </w:pPr>
      <w:r>
        <w:t>Os riscos podem compartilhar ativos, causas ou consequências, mas cada identificador representa um evento principal diferente. A separação abaixo evita duplicidade e preserva o alcance usado na avaliação.</w:t>
      </w:r>
    </w:p>
    <w:p>
      <w:pPr>
        <w:pStyle w:val="Normal"/>
        <w:spacing w:before="120" w:after="40"/>
        <w:keepNext/>
      </w:pPr>
      <w:r>
        <w:rPr>
          <w:b/>
        </w:rPr>
        <w:t>R01 Ataque DDoS ao sistema de reservas</w:t>
      </w:r>
    </w:p>
    <w:p>
      <w:pPr>
        <w:pStyle w:val="Normal"/>
      </w:pPr>
      <w:r>
        <w:t>O R01 trata da indisponibilidade causada por grande volume de requisições maliciosas contra o sistema de reservas. Ele se diferencia do R02 porque o objetivo do evento é impedir ou degradar o acesso ao serviço, enquanto a fraude pode ocorrer mesmo quando o sistema continua disponível.</w:t>
      </w:r>
    </w:p>
    <w:p>
      <w:pPr>
        <w:pStyle w:val="Normal"/>
        <w:spacing w:before="120" w:after="40"/>
        <w:keepNext/>
      </w:pPr>
      <w:r>
        <w:rPr>
          <w:b/>
        </w:rPr>
        <w:t>R02 Fraude na emissão de passagens via GDS</w:t>
      </w:r>
    </w:p>
    <w:p>
      <w:pPr>
        <w:pStyle w:val="Normal"/>
      </w:pPr>
      <w:r>
        <w:t>O R02 trata da emissão indevida ou da manipulação fraudulenta de passagens por meio do GDS. Seu foco é a integridade e a legitimidade da transação. Diferentemente do R01, não depende de indisponibilidade; diferencia-se também dos riscos operacionais de voo porque afeta diretamente o processo comercial de emissão.</w:t>
      </w:r>
    </w:p>
    <w:p>
      <w:pPr>
        <w:pStyle w:val="Normal"/>
        <w:spacing w:before="120" w:after="40"/>
        <w:keepNext/>
      </w:pPr>
      <w:r>
        <w:rPr>
          <w:b/>
        </w:rPr>
        <w:t>R03 Comprometimento por suporte externo</w:t>
      </w:r>
    </w:p>
    <w:p>
      <w:pPr>
        <w:pStyle w:val="Normal"/>
      </w:pPr>
      <w:r>
        <w:t>O R03 descreve a origem do comprometimento no acesso ou na atividade de um fornecedor de suporte. Ele se distingue dos demais por representar um vetor relacionado a terceiros. Pode anteceder o R05 se esse acesso atingir um sistema embarcado, mas sua classificação permanece centrada no caminho de entrada e na dependência externa.</w:t>
      </w:r>
    </w:p>
    <w:p>
      <w:pPr>
        <w:pStyle w:val="Normal"/>
        <w:spacing w:before="120" w:after="40"/>
        <w:keepNext/>
      </w:pPr>
      <w:r>
        <w:rPr>
          <w:b/>
        </w:rPr>
        <w:t>R04 Falha de sistemas legados de controle de voo</w:t>
      </w:r>
    </w:p>
    <w:p>
      <w:pPr>
        <w:pStyle w:val="Normal"/>
      </w:pPr>
      <w:r>
        <w:t>O R04 trata de falha técnica associada a sistemas legados de controle de voo, como limitações de manutenção, compatibilidade ou confiabilidade. Diferencia-se do R03 e do R05 porque não exige acesso externo nem comprometimento intencional. Também não foi presumida dependência entre esse sistema e o sistema de reservas.</w:t>
      </w:r>
    </w:p>
    <w:p>
      <w:pPr>
        <w:pStyle w:val="Normal"/>
        <w:spacing w:before="120" w:after="40"/>
        <w:keepNext/>
      </w:pPr>
      <w:r>
        <w:rPr>
          <w:b/>
        </w:rPr>
        <w:t>R05 Comprometimento de sistema crítico embarcado</w:t>
      </w:r>
    </w:p>
    <w:p>
      <w:pPr>
        <w:pStyle w:val="Normal"/>
      </w:pPr>
      <w:r>
        <w:t>O R05 descreve o ativo atingido e a perda de integridade ou disponibilidade de um sistema crítico embarcado. Ele se diferencia do R03, que identifica o suporte externo como vetor, e do R04, que trata de falha em sistema legado. Se um único incidente envolver R03 e R05, a causa e a consequência devem ser relacionadas sem contabilizar o mesmo dano duas vezes.</w:t>
      </w:r>
    </w:p>
    <w:p>
      <w:pPr>
        <w:pStyle w:val="Ttulo1"/>
        <w:pageBreakBefore/>
      </w:pPr>
      <w:r>
        <w:t>4. Tratamento dos Riscos</w:t>
      </w:r>
    </w:p>
    <w:p>
      <w:pPr>
        <w:pStyle w:val="Orientação"/>
      </w:pPr>
      <w:r>
        <w:rPr>
          <w:b/>
        </w:rPr>
        <w:t xml:space="preserve">Quem escreve: </w:t>
      </w:r>
      <w:r>
        <w:t>Higor</w:t>
      </w:r>
    </w:p>
    <w:p>
      <w:pPr>
        <w:pStyle w:val="Orientação"/>
      </w:pPr>
      <w:r>
        <w:rPr>
          <w:b/>
        </w:rPr>
        <w:t xml:space="preserve">Objetivo da seção: </w:t>
      </w:r>
      <w:r>
        <w:t>Definir o que fazer diante dos riscos avaliados e como acompanhar as medidas.</w:t>
      </w:r>
    </w:p>
    <w:p>
      <w:pPr>
        <w:pStyle w:val="Orientação"/>
      </w:pPr>
      <w:r>
        <w:rPr>
          <w:b/>
        </w:rPr>
        <w:t xml:space="preserve">O que escrever: </w:t>
      </w:r>
      <w:r>
        <w:t>Escolha a estratégia, descreva a medida, a função responsável, a prioridade e a evidência esperada. Pode mitigar, evitar, compartilhar/transferir ou aceitar, conforme justificativa. Aceitação deve ter responsável e registro, sem afastar obrigações aplicáveis.</w:t>
      </w:r>
    </w:p>
    <w:p>
      <w:pPr>
        <w:pStyle w:val="Orientação"/>
      </w:pPr>
      <w:r>
        <w:t>Contexto da AeroLog: Os riscos envolvem reservas, passagens, fornecedores, sistemas legados e embarcados. A existência de ferramentas de defesa, redundância ou backups deve ser confirmada antes de considerar esses controles no tratamento.</w:t>
      </w:r>
    </w:p>
    <w:p>
      <w:pPr>
        <w:pStyle w:val="Orientação"/>
      </w:pPr>
      <w:r>
        <w:rPr>
          <w:b/>
        </w:rPr>
        <w:t xml:space="preserve">Referências que podem ajudar: </w:t>
      </w:r>
      <w:r>
        <w:t>Kit 2 do MGI, tratamento; Aena; GOL, exemplos de controles de terceiros.</w:t>
      </w:r>
    </w:p>
    <w:p>
      <w:pPr>
        <w:pStyle w:val="Orientação"/>
      </w:pPr>
      <w:r>
        <w:rPr>
          <w:b/>
        </w:rPr>
        <w:t xml:space="preserve">Alinhamento necessário: </w:t>
      </w:r>
      <w:r>
        <w:t>Receber de Caio as avaliações, de Arthur e Isadora as regras da PSI e de Sabrina e Gustavo a viabilidade das estratégias de continuidade.</w:t>
      </w:r>
    </w:p>
    <w:p>
      <w:pPr>
        <w:pStyle w:val="Orientação"/>
      </w:pPr>
      <w:r>
        <w:rPr>
          <w:b/>
        </w:rPr>
        <w:t xml:space="preserve">Texto inicial para adaptar: </w:t>
      </w:r>
      <w:r>
        <w:t>Os tratamentos deverão ser associados aos IDs do registro de riscos e compatíveis com as diretrizes da PSI. As medidas abaixo são propostas iniciais para análise da equipe.</w:t>
      </w:r>
    </w:p>
    <w:p>
      <w:pPr>
        <w:pStyle w:val="Campoeditável"/>
      </w:pPr>
      <w:r>
        <w:rPr>
          <w:b/>
        </w:rPr>
        <w:t xml:space="preserve">Completar pela equipe: </w:t>
      </w:r>
      <w:r>
        <w:t>[Validar as propostas e completar estratégia, responsáveis, prioridades e critérios de verificação.]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6973"/>
        <w:gridCol w:w="1984"/>
      </w:tblGrid>
      <w:tr>
        <w:trPr>
          <w:cantSplit/>
          <w:tblHeader/>
        </w:trPr>
        <w:tc>
          <w:tcPr>
            <w:tcW w:type="dxa" w:w="680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6973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Ponto de partida para o tratamento</w:t>
            </w:r>
          </w:p>
        </w:tc>
        <w:tc>
          <w:tcPr>
            <w:tcW w:type="dxa" w:w="1984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PSI relacionada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R01</w:t>
            </w:r>
          </w:p>
        </w:tc>
        <w:tc>
          <w:tcPr>
            <w:tcW w:type="dxa" w:w="6973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Avaliar proteção contra DDoS, acompanhamento da disponibilidade e estratégia de continuidade.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4.2, 4.6 e 4.7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R02</w:t>
            </w:r>
          </w:p>
        </w:tc>
        <w:tc>
          <w:tcPr>
            <w:tcW w:type="dxa" w:w="6973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Avaliar controles de acesso, verificação de operações suspeitas e registros de emissão.</w:t>
            </w:r>
          </w:p>
        </w:tc>
        <w:tc>
          <w:tcPr>
            <w:tcW w:type="dxa" w:w="198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4.1, 4.2 e 4.8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R03</w:t>
            </w:r>
          </w:p>
        </w:tc>
        <w:tc>
          <w:tcPr>
            <w:tcW w:type="dxa" w:w="6973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Propor autorização de suporte, acesso limitado, autenticação adequada, registros e requisitos contratuais.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4.1, 4.3, 4.4 e 4.7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R04</w:t>
            </w:r>
          </w:p>
        </w:tc>
        <w:tc>
          <w:tcPr>
            <w:tcW w:type="dxa" w:w="6973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Avaliar atualização ou substituição planejada e recuperação compatível com a operação.</w:t>
            </w:r>
          </w:p>
        </w:tc>
        <w:tc>
          <w:tcPr>
            <w:tcW w:type="dxa" w:w="198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4.3, 4.5 e 4.6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R05</w:t>
            </w:r>
          </w:p>
        </w:tc>
        <w:tc>
          <w:tcPr>
            <w:tcW w:type="dxa" w:w="6973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Propor controle de alterações, restrição de acesso, avaliação de integridade e resposta técnica segura.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4.3, 4.5 e 4.7</w:t>
            </w:r>
          </w:p>
        </w:tc>
      </w:tr>
    </w:tbl>
    <w:p>
      <w:pPr>
        <w:spacing w:after="20"/>
      </w:pPr>
    </w:p>
    <w:p>
      <w:pPr>
        <w:pStyle w:val="Orientação"/>
        <w:pageBreakBefore/>
      </w:pPr>
      <w:r>
        <w:t>Plano de tratamento dos riscos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2268"/>
        <w:gridCol w:w="2154"/>
        <w:gridCol w:w="1984"/>
        <w:gridCol w:w="2551"/>
      </w:tblGrid>
      <w:tr>
        <w:trPr>
          <w:cantSplit/>
          <w:tblHeader/>
        </w:trPr>
        <w:tc>
          <w:tcPr>
            <w:tcW w:type="dxa" w:w="680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268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Estratégia e prioridade</w:t>
            </w:r>
          </w:p>
        </w:tc>
        <w:tc>
          <w:tcPr>
            <w:tcW w:type="dxa" w:w="2154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Responsável funcional</w:t>
            </w:r>
          </w:p>
        </w:tc>
        <w:tc>
          <w:tcPr>
            <w:tcW w:type="dxa" w:w="1984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Prazo / critério</w:t>
            </w:r>
          </w:p>
        </w:tc>
        <w:tc>
          <w:tcPr>
            <w:tcW w:type="dxa" w:w="2551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Evidência de conclusão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R01</w:t>
            </w:r>
          </w:p>
        </w:tc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R02</w:t>
            </w:r>
          </w:p>
        </w:tc>
        <w:tc>
          <w:tcPr>
            <w:tcW w:type="dxa" w:w="2268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15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198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55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R03</w:t>
            </w:r>
          </w:p>
        </w:tc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R04</w:t>
            </w:r>
          </w:p>
        </w:tc>
        <w:tc>
          <w:tcPr>
            <w:tcW w:type="dxa" w:w="2268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15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198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55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R05</w:t>
            </w:r>
          </w:p>
        </w:tc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</w:tbl>
    <w:p>
      <w:pPr>
        <w:spacing w:after="20"/>
      </w:pPr>
    </w:p>
    <w:p>
      <w:pPr>
        <w:pStyle w:val="Orientação"/>
      </w:pPr>
      <w:r>
        <w:t>Como preencher: Em “evidência”, indique algo verificável, como revisão de permissões registrada ou teste de restauração concluído. O prazo deve refletir a criticidade do risco e a capacidade de execução. O responsável deve ser uma função da empresa.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91"/>
        <w:gridCol w:w="8447"/>
      </w:tblGrid>
      <w:tr>
        <w:trPr>
          <w:cantSplit/>
          <w:tblHeader/>
        </w:trPr>
        <w:tc>
          <w:tcPr>
            <w:tcW w:type="dxa" w:w="1191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Risco</w:t>
            </w:r>
          </w:p>
        </w:tc>
        <w:tc>
          <w:tcPr>
            <w:tcW w:type="dxa" w:w="8447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Ligação inicial com o PCN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R01</w:t>
            </w:r>
          </w:p>
        </w:tc>
        <w:tc>
          <w:tcPr>
            <w:tcW w:type="dxa" w:w="844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C01; C04 quando a interrupção cibernética for ampla ou prolongada.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R02</w:t>
            </w:r>
          </w:p>
        </w:tc>
        <w:tc>
          <w:tcPr>
            <w:tcW w:type="dxa" w:w="8447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Avaliar com Sabrina e Gustavo se a fraude pode causar interrupção relevante. Não criar um cenário de continuidade por obrigação de preencher a tabela.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R03</w:t>
            </w:r>
          </w:p>
        </w:tc>
        <w:tc>
          <w:tcPr>
            <w:tcW w:type="dxa" w:w="844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C03; C04 em caso de impacto amplo, conforme alcance adotado.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R04</w:t>
            </w:r>
          </w:p>
        </w:tc>
        <w:tc>
          <w:tcPr>
            <w:tcW w:type="dxa" w:w="8447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Seção 4 do PCN, continuidade dos voos na indisponibilidade de gerenciamento. C01 somente se a dependência de reservas for assumida e justificada.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R05</w:t>
            </w:r>
          </w:p>
        </w:tc>
        <w:tc>
          <w:tcPr>
            <w:tcW w:type="dxa" w:w="844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C02; C04 quando houver impacto amplo, conforme alcance adotado.</w:t>
            </w:r>
          </w:p>
        </w:tc>
      </w:tr>
    </w:tbl>
    <w:p>
      <w:pPr>
        <w:spacing w:after="20"/>
      </w:pPr>
    </w:p>
    <w:p>
      <w:pPr>
        <w:pStyle w:val="Campoeditável"/>
      </w:pPr>
      <w:r>
        <w:rPr>
          <w:b/>
        </w:rPr>
        <w:t xml:space="preserve">Premissas compartilhadas: </w:t>
      </w:r>
      <w:r>
        <w:t>[Consolidar com a PSI e o PCN as escolhas de autenticação, backup offline, infraestrutura alternativa, responsáveis e recursos. Não assumir que a proposta já funciona.]</w:t>
      </w:r>
    </w:p>
    <w:p>
      <w:pPr>
        <w:pStyle w:val="Ttulo1"/>
        <w:pageBreakBefore/>
      </w:pPr>
      <w:r>
        <w:t>5. Responsabilidades</w:t>
      </w:r>
    </w:p>
    <w:p>
      <w:pPr>
        <w:pStyle w:val="Orientação"/>
      </w:pPr>
      <w:r>
        <w:rPr>
          <w:b/>
        </w:rPr>
        <w:t xml:space="preserve">Quem escreve: </w:t>
      </w:r>
      <w:r>
        <w:t>Higor</w:t>
      </w:r>
    </w:p>
    <w:p>
      <w:pPr>
        <w:pStyle w:val="Orientação"/>
      </w:pPr>
      <w:r>
        <w:rPr>
          <w:b/>
        </w:rPr>
        <w:t xml:space="preserve">Objetivo da seção: </w:t>
      </w:r>
      <w:r>
        <w:t>Definir quem acompanha, decide e executa a gestão dos riscos.</w:t>
      </w:r>
    </w:p>
    <w:p>
      <w:pPr>
        <w:pStyle w:val="Orientação"/>
      </w:pPr>
      <w:r>
        <w:rPr>
          <w:b/>
        </w:rPr>
        <w:t xml:space="preserve">O que escrever: </w:t>
      </w:r>
      <w:r>
        <w:t>Use a mesma nomenclatura de funções da PSI. Indique o dono do risco, quem aprova o tratamento, quem executa a medida e quem informa mudanças. A distribuição abaixo é proposta organizacional a confirmar.</w:t>
      </w:r>
    </w:p>
    <w:p>
      <w:pPr>
        <w:pStyle w:val="Orientação"/>
      </w:pPr>
      <w:r>
        <w:t>Contexto da AeroLog: A empresa mantém equipe própria de TI, equipes operacionais e fornecedores internacionais. As funções de governança e os níveis de decisão devem ser formalizados nesta política.</w:t>
      </w:r>
    </w:p>
    <w:p>
      <w:pPr>
        <w:pStyle w:val="Orientação"/>
      </w:pPr>
      <w:r>
        <w:rPr>
          <w:b/>
        </w:rPr>
        <w:t xml:space="preserve">Referências que podem ajudar: </w:t>
      </w:r>
      <w:r>
        <w:t>Kit 2 do MGI e Aena, atribuição de responsabilidades.</w:t>
      </w:r>
    </w:p>
    <w:p>
      <w:pPr>
        <w:pStyle w:val="Orientação"/>
      </w:pPr>
      <w:r>
        <w:rPr>
          <w:b/>
        </w:rPr>
        <w:t xml:space="preserve">Alinhamento necessário: </w:t>
      </w:r>
      <w:r>
        <w:t>Arthur e Isadora consolidam as funções na PSI; Gustavo emprega as mesmas funções no acionamento do PCN.</w:t>
      </w:r>
    </w:p>
    <w:p>
      <w:pPr>
        <w:pStyle w:val="Orientação"/>
      </w:pPr>
      <w:r>
        <w:rPr>
          <w:b/>
        </w:rPr>
        <w:t xml:space="preserve">Texto inicial para adaptar: </w:t>
      </w:r>
      <w:r>
        <w:t>A gestão de cada risco deverá ter uma função responsável por seu acompanhamento e pelo encaminhamento das medidas acordadas.</w:t>
      </w:r>
    </w:p>
    <w:p>
      <w:pPr>
        <w:pStyle w:val="Campoeditável"/>
      </w:pPr>
      <w:r>
        <w:rPr>
          <w:b/>
        </w:rPr>
        <w:t xml:space="preserve">Completar pela equipe: </w:t>
      </w:r>
      <w:r>
        <w:t>[Confirmar os papéis e os limites de decisão na tabela.]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Função proposta</w:t>
            </w:r>
          </w:p>
        </w:tc>
        <w:tc>
          <w:tcPr>
            <w:tcW w:type="dxa" w:w="6803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Responsabilidade a validar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Alta Administração</w:t>
            </w:r>
          </w:p>
        </w:tc>
        <w:tc>
          <w:tcPr>
            <w:tcW w:type="dxa" w:w="6803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Aprovar prioridades, recursos e decisões de aceitação conforme os limites definidos.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TI / função de segurança</w:t>
            </w:r>
          </w:p>
        </w:tc>
        <w:tc>
          <w:tcPr>
            <w:tcW w:type="dxa" w:w="6803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Analisar aspectos técnicos, propor e executar controles, monitorar registros e comunicar alterações.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Gestor do processo afetado</w:t>
            </w:r>
          </w:p>
        </w:tc>
        <w:tc>
          <w:tcPr>
            <w:tcW w:type="dxa" w:w="6803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Validar consequências, necessidades do negócio e acompanhamento do risco.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Fornecedores e terceiros</w:t>
            </w:r>
          </w:p>
        </w:tc>
        <w:tc>
          <w:tcPr>
            <w:tcW w:type="dxa" w:w="6803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Cumprir requisitos contratuais e apoiar o tratamento dos riscos relacionados ao serviço.</w:t>
            </w:r>
          </w:p>
        </w:tc>
      </w:tr>
    </w:tbl>
    <w:p>
      <w:pPr>
        <w:spacing w:after="20"/>
      </w:pPr>
    </w:p>
    <w:p>
      <w:pPr>
        <w:pStyle w:val="Ttulo1"/>
        <w:pageBreakBefore/>
      </w:pPr>
      <w:r>
        <w:t>6. Monitoramento e Revisão</w:t>
      </w:r>
    </w:p>
    <w:p>
      <w:pPr>
        <w:pStyle w:val="Orientação"/>
      </w:pPr>
      <w:r>
        <w:rPr>
          <w:b/>
        </w:rPr>
        <w:t xml:space="preserve">Quem escreve: </w:t>
      </w:r>
      <w:r>
        <w:t>Higor</w:t>
      </w:r>
    </w:p>
    <w:p>
      <w:pPr>
        <w:pStyle w:val="Orientação"/>
      </w:pPr>
      <w:r>
        <w:rPr>
          <w:b/>
        </w:rPr>
        <w:t xml:space="preserve">Objetivo da seção: </w:t>
      </w:r>
      <w:r>
        <w:t>Manter avaliações e tratamentos úteis após a primeira versão.</w:t>
      </w:r>
    </w:p>
    <w:p>
      <w:pPr>
        <w:pStyle w:val="Orientação"/>
      </w:pPr>
      <w:r>
        <w:rPr>
          <w:b/>
        </w:rPr>
        <w:t xml:space="preserve">O que escrever: </w:t>
      </w:r>
      <w:r>
        <w:t>Defina periodicidade, gatilhos extraordinários, status das ações e evidências. Preveja atualização por incidentes, mudanças nos sistemas, fornecedores ou resultados de testes. Evite indicadores que exijam dados não disponíveis.</w:t>
      </w:r>
    </w:p>
    <w:p>
      <w:pPr>
        <w:pStyle w:val="Orientação"/>
      </w:pPr>
      <w:r>
        <w:t>Contexto da AeroLog: A exposição a ataques e a dependência de suporte internacional exigem indicadores e uma rotina formal de monitoramento.</w:t>
      </w:r>
    </w:p>
    <w:p>
      <w:pPr>
        <w:pStyle w:val="Orientação"/>
      </w:pPr>
      <w:r>
        <w:rPr>
          <w:b/>
        </w:rPr>
        <w:t xml:space="preserve">Referências que podem ajudar: </w:t>
      </w:r>
      <w:r>
        <w:t>Kit 2 do MGI e Aena, acompanhamento e atualização.</w:t>
      </w:r>
    </w:p>
    <w:p>
      <w:pPr>
        <w:pStyle w:val="Orientação"/>
      </w:pPr>
      <w:r>
        <w:rPr>
          <w:b/>
        </w:rPr>
        <w:t xml:space="preserve">Alinhamento necessário: </w:t>
      </w:r>
      <w:r>
        <w:t>Resultados dos testes do PCN podem levar Caio a reavaliar riscos e Arthur/Isadora a ajustar diretrizes.</w:t>
      </w:r>
    </w:p>
    <w:p>
      <w:pPr>
        <w:pStyle w:val="Orientação"/>
      </w:pPr>
      <w:r>
        <w:rPr>
          <w:b/>
        </w:rPr>
        <w:t xml:space="preserve">Texto inicial para adaptar: </w:t>
      </w:r>
      <w:r>
        <w:t>Os riscos e seus tratamentos deverão ser revistos em [periodicidade] e sempre que ocorrerem mudanças relevantes ou novos incidentes.</w:t>
      </w:r>
    </w:p>
    <w:p>
      <w:pPr>
        <w:pStyle w:val="Campoeditável"/>
      </w:pPr>
      <w:r>
        <w:rPr>
          <w:b/>
        </w:rPr>
        <w:t xml:space="preserve">Completar pela equipe: </w:t>
      </w:r>
      <w:r>
        <w:t>[Definir frequência, responsável pela atualização e comunicação às outras duplas.]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2891"/>
        <w:gridCol w:w="4082"/>
        <w:gridCol w:w="1984"/>
      </w:tblGrid>
      <w:tr>
        <w:trPr>
          <w:cantSplit/>
          <w:tblHeader/>
        </w:trPr>
        <w:tc>
          <w:tcPr>
            <w:tcW w:type="dxa" w:w="680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891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Situação da medida</w:t>
            </w:r>
          </w:p>
        </w:tc>
        <w:tc>
          <w:tcPr>
            <w:tcW w:type="dxa" w:w="4082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Evidência / pendência</w:t>
            </w:r>
          </w:p>
        </w:tc>
        <w:tc>
          <w:tcPr>
            <w:tcW w:type="dxa" w:w="1984"/>
            <w:vAlign w:val="center"/>
            <w:shd w:fill="E7ED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/>
                <w:sz w:val="19"/>
              </w:rPr>
              <w:t>Próxima revisão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R01</w:t>
            </w:r>
          </w:p>
        </w:tc>
        <w:tc>
          <w:tcPr>
            <w:tcW w:type="dxa" w:w="289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[planejada / em execução / concluída]</w:t>
            </w:r>
          </w:p>
        </w:tc>
        <w:tc>
          <w:tcPr>
            <w:tcW w:type="dxa" w:w="408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[registrar]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R02</w:t>
            </w:r>
          </w:p>
        </w:tc>
        <w:tc>
          <w:tcPr>
            <w:tcW w:type="dxa" w:w="289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[planejada / em execução / concluída]</w:t>
            </w:r>
          </w:p>
        </w:tc>
        <w:tc>
          <w:tcPr>
            <w:tcW w:type="dxa" w:w="4082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[registrar]</w:t>
            </w:r>
          </w:p>
        </w:tc>
        <w:tc>
          <w:tcPr>
            <w:tcW w:type="dxa" w:w="198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R03</w:t>
            </w:r>
          </w:p>
        </w:tc>
        <w:tc>
          <w:tcPr>
            <w:tcW w:type="dxa" w:w="289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[planejada / em execução / concluída]</w:t>
            </w:r>
          </w:p>
        </w:tc>
        <w:tc>
          <w:tcPr>
            <w:tcW w:type="dxa" w:w="408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[registrar]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R04</w:t>
            </w:r>
          </w:p>
        </w:tc>
        <w:tc>
          <w:tcPr>
            <w:tcW w:type="dxa" w:w="2891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[planejada / em execução / concluída]</w:t>
            </w:r>
          </w:p>
        </w:tc>
        <w:tc>
          <w:tcPr>
            <w:tcW w:type="dxa" w:w="4082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[registrar]</w:t>
            </w:r>
          </w:p>
        </w:tc>
        <w:tc>
          <w:tcPr>
            <w:tcW w:type="dxa" w:w="1984"/>
            <w:vAlign w:val="center"/>
            <w:shd w:fill="F7F8F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R05</w:t>
            </w:r>
          </w:p>
        </w:tc>
        <w:tc>
          <w:tcPr>
            <w:tcW w:type="dxa" w:w="289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[planejada / em execução / concluída]</w:t>
            </w:r>
          </w:p>
        </w:tc>
        <w:tc>
          <w:tcPr>
            <w:tcW w:type="dxa" w:w="408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[registrar]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0" w:lineRule="auto"/>
            </w:pPr>
            <w:r>
              <w:rPr>
                <w:b w:val="0"/>
                <w:sz w:val="19"/>
              </w:rPr>
              <w:t>[definir]</w:t>
            </w:r>
          </w:p>
        </w:tc>
      </w:tr>
    </w:tbl>
    <w:p>
      <w:pPr>
        <w:spacing w:after="20"/>
      </w:pPr>
    </w:p>
    <w:p>
      <w:pPr>
        <w:pStyle w:val="Orientação"/>
      </w:pPr>
      <w:r>
        <w:rPr>
          <w:b/>
        </w:rPr>
        <w:t xml:space="preserve">Perguntas para revisão: </w:t>
      </w:r>
      <w:r>
        <w:t>A medida foi executada? Há evidência de que funciona? O risco mudou? Houve incidente ou teste que revelou uma falha? A PSI e o PCN precisam ser atualizados?</w:t>
      </w:r>
    </w:p>
    <w:p>
      <w:pPr>
        <w:pStyle w:val="Campoeditável"/>
      </w:pPr>
      <w:r>
        <w:t>Exemplo de registro: [Rxx | medida avaliada | evidência encontrada | decisão tomada | função responsável | data]. Se a medida ainda não tiver sido executada, registrar seu status como planejada.</w:t>
      </w:r>
    </w:p>
    <w:p>
      <w:pPr>
        <w:pStyle w:val="Orientação"/>
        <w:pageBreakBefore/>
      </w:pPr>
      <w:r>
        <w:t>Referências</w:t>
      </w:r>
    </w:p>
    <w:p>
      <w:pPr>
        <w:pStyle w:val="Orientação"/>
      </w:pPr>
      <w:r>
        <w:t>Fontes externas: As referências abaixo apoiam os critérios de avaliação, tratamento, responsabilidades e monitoramento adotados nesta política.</w:t>
      </w:r>
    </w:p>
    <w:p>
      <w:pPr>
        <w:pStyle w:val="Fonte"/>
      </w:pPr>
      <w:hyperlink r:id="rId18">
        <w:r>
          <w:rPr>
            <w:color w:val="234E70"/>
            <w:u w:val="single"/>
          </w:rPr>
          <w:t>Kit 2 — Gestão de Riscos de Segurança da Informação</w:t>
        </w:r>
      </w:hyperlink>
    </w:p>
    <w:p>
      <w:pPr>
        <w:pStyle w:val="Fonte"/>
      </w:pPr>
      <w:r>
        <w:t>SEST / Ministério do Planejamento / UnB, 2018, disponível no portal do MGI. Apoio para método, registro e tratamento de riscos.</w:t>
      </w:r>
    </w:p>
    <w:p>
      <w:pPr>
        <w:pStyle w:val="Fonte"/>
      </w:pPr>
      <w:hyperlink r:id="rId19">
        <w:r>
          <w:rPr>
            <w:color w:val="234E70"/>
            <w:u w:val="single"/>
          </w:rPr>
          <w:t>Aena — Política de control y gestión de riesgos</w:t>
        </w:r>
      </w:hyperlink>
    </w:p>
    <w:p>
      <w:pPr>
        <w:pStyle w:val="Fonte"/>
      </w:pPr>
      <w:r>
        <w:t>Aprovada em 26/05/2026. Apoio para o ciclo de avaliação, tratamento, responsabilidades e acompanhamento, adaptado ao contexto da AeroLog.</w:t>
      </w:r>
    </w:p>
    <w:p>
      <w:pPr>
        <w:pStyle w:val="Fonte"/>
      </w:pPr>
      <w:hyperlink r:id="rId20">
        <w:r>
          <w:rPr>
            <w:color w:val="234E70"/>
            <w:u w:val="single"/>
          </w:rPr>
          <w:t>GOL — Política de Segurança da Informação para Terceiros</w:t>
        </w:r>
      </w:hyperlink>
    </w:p>
    <w:p>
      <w:pPr>
        <w:pStyle w:val="Fonte"/>
      </w:pPr>
      <w:r>
        <w:t>Revisão 01, 12/06/2025. Apoio para fornecedores, acesso, registros, backup e continuidade. Não copiar prazos contratuais para a AeroLog.</w:t>
      </w:r>
    </w:p>
    <w:p>
      <w:pPr>
        <w:pStyle w:val="Orientação"/>
      </w:pPr>
      <w:r>
        <w:rPr>
          <w:b/>
        </w:rPr>
        <w:t xml:space="preserve">Conferência conjunta: </w:t>
      </w:r>
      <w:r>
        <w:t>Verificar nomes de sistemas, funções organizacionais, riscos e cenários. Toda alteração de ID deve ser comunicada por Caio a Arthur, Isadora, Higor, Sabrina e Gustavo.</w:t>
      </w:r>
    </w:p>
    <w:p>
      <w:pPr>
        <w:pStyle w:val="Campoeditável"/>
      </w:pPr>
      <w:r>
        <w:rPr>
          <w:b/>
        </w:rPr>
        <w:t xml:space="preserve">Registro de premissas: </w:t>
      </w:r>
      <w:r>
        <w:t>[Listar as escolhas aprovadas, os documentos afetados e a justificativa. Não registrar medidas propostas como controles existentes.]</w:t>
      </w:r>
    </w:p>
    <w:sectPr w:rsidR="006D38E7">
      <w:footerReference w:type="default" r:id="rId16"/>
      <w:headerReference w:type="default" r:id="rId17"/>
      <w:pgSz w:w="11906" w:h="16838"/>
      <w:pgMar w:top="1020" w:right="1134" w:bottom="1020" w:left="1134" w:header="397" w:footer="4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A0316" w14:textId="77777777" w:rsidR="00E21A43" w:rsidRDefault="00E21A43">
      <w:r>
        <w:separator/>
      </w:r>
    </w:p>
  </w:endnote>
  <w:endnote w:type="continuationSeparator" w:id="0">
    <w:p w14:paraId="6BB6563D" w14:textId="77777777" w:rsidR="00E21A43" w:rsidRDefault="00E21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MT">
    <w:altName w:val="Arial MT"/>
    <w:charset w:val="01"/>
    <w:family w:val="swiss"/>
    <w:pitch w:val="variable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AeroLog | PGR | Uso interno | </w:t>
    </w:r>
    <w:fldSimple w:instr="PAGE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D61F4" w14:textId="77777777" w:rsidR="00E21A43" w:rsidRDefault="00E21A43">
      <w:r>
        <w:separator/>
      </w:r>
    </w:p>
  </w:footnote>
  <w:footnote w:type="continuationSeparator" w:id="0">
    <w:p w14:paraId="0633638B" w14:textId="77777777" w:rsidR="00E21A43" w:rsidRDefault="00E21A43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F58F6"/>
    <w:multiLevelType w:val="hybridMultilevel"/>
    <w:tmpl w:val="FFFFFFFF"/>
    <w:lvl w:ilvl="0" w:tplc="59D84E7C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568C93CA">
      <w:numFmt w:val="bullet"/>
      <w:lvlText w:val="•"/>
      <w:lvlJc w:val="left"/>
      <w:pPr>
        <w:ind w:left="1216" w:hanging="361"/>
      </w:pPr>
      <w:rPr>
        <w:rFonts w:hint="default"/>
        <w:lang w:val="pt-PT" w:eastAsia="en-US" w:bidi="ar-SA"/>
      </w:rPr>
    </w:lvl>
    <w:lvl w:ilvl="2" w:tplc="2DC440F4">
      <w:numFmt w:val="bullet"/>
      <w:lvlText w:val="•"/>
      <w:lvlJc w:val="left"/>
      <w:pPr>
        <w:ind w:left="1592" w:hanging="361"/>
      </w:pPr>
      <w:rPr>
        <w:rFonts w:hint="default"/>
        <w:lang w:val="pt-PT" w:eastAsia="en-US" w:bidi="ar-SA"/>
      </w:rPr>
    </w:lvl>
    <w:lvl w:ilvl="3" w:tplc="61DC920A">
      <w:numFmt w:val="bullet"/>
      <w:lvlText w:val="•"/>
      <w:lvlJc w:val="left"/>
      <w:pPr>
        <w:ind w:left="1968" w:hanging="361"/>
      </w:pPr>
      <w:rPr>
        <w:rFonts w:hint="default"/>
        <w:lang w:val="pt-PT" w:eastAsia="en-US" w:bidi="ar-SA"/>
      </w:rPr>
    </w:lvl>
    <w:lvl w:ilvl="4" w:tplc="2584A4F4">
      <w:numFmt w:val="bullet"/>
      <w:lvlText w:val="•"/>
      <w:lvlJc w:val="left"/>
      <w:pPr>
        <w:ind w:left="2344" w:hanging="361"/>
      </w:pPr>
      <w:rPr>
        <w:rFonts w:hint="default"/>
        <w:lang w:val="pt-PT" w:eastAsia="en-US" w:bidi="ar-SA"/>
      </w:rPr>
    </w:lvl>
    <w:lvl w:ilvl="5" w:tplc="94EA7778">
      <w:numFmt w:val="bullet"/>
      <w:lvlText w:val="•"/>
      <w:lvlJc w:val="left"/>
      <w:pPr>
        <w:ind w:left="2721" w:hanging="361"/>
      </w:pPr>
      <w:rPr>
        <w:rFonts w:hint="default"/>
        <w:lang w:val="pt-PT" w:eastAsia="en-US" w:bidi="ar-SA"/>
      </w:rPr>
    </w:lvl>
    <w:lvl w:ilvl="6" w:tplc="A93AA7EE">
      <w:numFmt w:val="bullet"/>
      <w:lvlText w:val="•"/>
      <w:lvlJc w:val="left"/>
      <w:pPr>
        <w:ind w:left="3097" w:hanging="361"/>
      </w:pPr>
      <w:rPr>
        <w:rFonts w:hint="default"/>
        <w:lang w:val="pt-PT" w:eastAsia="en-US" w:bidi="ar-SA"/>
      </w:rPr>
    </w:lvl>
    <w:lvl w:ilvl="7" w:tplc="BE58B188">
      <w:numFmt w:val="bullet"/>
      <w:lvlText w:val="•"/>
      <w:lvlJc w:val="left"/>
      <w:pPr>
        <w:ind w:left="3473" w:hanging="361"/>
      </w:pPr>
      <w:rPr>
        <w:rFonts w:hint="default"/>
        <w:lang w:val="pt-PT" w:eastAsia="en-US" w:bidi="ar-SA"/>
      </w:rPr>
    </w:lvl>
    <w:lvl w:ilvl="8" w:tplc="2DD25ECA">
      <w:numFmt w:val="bullet"/>
      <w:lvlText w:val="•"/>
      <w:lvlJc w:val="left"/>
      <w:pPr>
        <w:ind w:left="3849" w:hanging="361"/>
      </w:pPr>
      <w:rPr>
        <w:rFonts w:hint="default"/>
        <w:lang w:val="pt-PT" w:eastAsia="en-US" w:bidi="ar-SA"/>
      </w:rPr>
    </w:lvl>
  </w:abstractNum>
  <w:abstractNum w:abstractNumId="1" w15:restartNumberingAfterBreak="0">
    <w:nsid w:val="2D3D35C4"/>
    <w:multiLevelType w:val="multilevel"/>
    <w:tmpl w:val="FFFFFFFF"/>
    <w:lvl w:ilvl="0">
      <w:start w:val="1"/>
      <w:numFmt w:val="decimal"/>
      <w:lvlText w:val="%1"/>
      <w:lvlJc w:val="left"/>
      <w:pPr>
        <w:ind w:left="373" w:hanging="23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808080"/>
        <w:spacing w:val="0"/>
        <w:w w:val="100"/>
        <w:sz w:val="32"/>
        <w:szCs w:val="3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98" w:hanging="355"/>
        <w:jc w:val="left"/>
      </w:pPr>
      <w:rPr>
        <w:rFonts w:hint="default"/>
        <w:spacing w:val="-2"/>
        <w:w w:val="100"/>
        <w:lang w:val="pt-PT" w:eastAsia="en-US" w:bidi="ar-SA"/>
      </w:rPr>
    </w:lvl>
    <w:lvl w:ilvl="2">
      <w:numFmt w:val="bullet"/>
      <w:lvlText w:val="•"/>
      <w:lvlJc w:val="left"/>
      <w:pPr>
        <w:ind w:left="1483" w:hanging="35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467" w:hanging="35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35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435" w:hanging="35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418" w:hanging="35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402" w:hanging="35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86" w:hanging="355"/>
      </w:pPr>
      <w:rPr>
        <w:rFonts w:hint="default"/>
        <w:lang w:val="pt-PT" w:eastAsia="en-US" w:bidi="ar-SA"/>
      </w:rPr>
    </w:lvl>
  </w:abstractNum>
  <w:abstractNum w:abstractNumId="2" w15:restartNumberingAfterBreak="0">
    <w:nsid w:val="37FA33A3"/>
    <w:multiLevelType w:val="hybridMultilevel"/>
    <w:tmpl w:val="FFFFFFFF"/>
    <w:lvl w:ilvl="0" w:tplc="783C1DC8">
      <w:numFmt w:val="bullet"/>
      <w:lvlText w:val=""/>
      <w:lvlJc w:val="left"/>
      <w:pPr>
        <w:ind w:left="865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F2A40A78">
      <w:numFmt w:val="bullet"/>
      <w:lvlText w:val="•"/>
      <w:lvlJc w:val="left"/>
      <w:pPr>
        <w:ind w:left="1233" w:hanging="361"/>
      </w:pPr>
      <w:rPr>
        <w:rFonts w:hint="default"/>
        <w:lang w:val="pt-PT" w:eastAsia="en-US" w:bidi="ar-SA"/>
      </w:rPr>
    </w:lvl>
    <w:lvl w:ilvl="2" w:tplc="F6E2E478">
      <w:numFmt w:val="bullet"/>
      <w:lvlText w:val="•"/>
      <w:lvlJc w:val="left"/>
      <w:pPr>
        <w:ind w:left="1607" w:hanging="361"/>
      </w:pPr>
      <w:rPr>
        <w:rFonts w:hint="default"/>
        <w:lang w:val="pt-PT" w:eastAsia="en-US" w:bidi="ar-SA"/>
      </w:rPr>
    </w:lvl>
    <w:lvl w:ilvl="3" w:tplc="71D2ED18">
      <w:numFmt w:val="bullet"/>
      <w:lvlText w:val="•"/>
      <w:lvlJc w:val="left"/>
      <w:pPr>
        <w:ind w:left="1981" w:hanging="361"/>
      </w:pPr>
      <w:rPr>
        <w:rFonts w:hint="default"/>
        <w:lang w:val="pt-PT" w:eastAsia="en-US" w:bidi="ar-SA"/>
      </w:rPr>
    </w:lvl>
    <w:lvl w:ilvl="4" w:tplc="6BC04366">
      <w:numFmt w:val="bullet"/>
      <w:lvlText w:val="•"/>
      <w:lvlJc w:val="left"/>
      <w:pPr>
        <w:ind w:left="2354" w:hanging="361"/>
      </w:pPr>
      <w:rPr>
        <w:rFonts w:hint="default"/>
        <w:lang w:val="pt-PT" w:eastAsia="en-US" w:bidi="ar-SA"/>
      </w:rPr>
    </w:lvl>
    <w:lvl w:ilvl="5" w:tplc="FCBEBF7E">
      <w:numFmt w:val="bullet"/>
      <w:lvlText w:val="•"/>
      <w:lvlJc w:val="left"/>
      <w:pPr>
        <w:ind w:left="2728" w:hanging="361"/>
      </w:pPr>
      <w:rPr>
        <w:rFonts w:hint="default"/>
        <w:lang w:val="pt-PT" w:eastAsia="en-US" w:bidi="ar-SA"/>
      </w:rPr>
    </w:lvl>
    <w:lvl w:ilvl="6" w:tplc="B9B87D58">
      <w:numFmt w:val="bullet"/>
      <w:lvlText w:val="•"/>
      <w:lvlJc w:val="left"/>
      <w:pPr>
        <w:ind w:left="3102" w:hanging="361"/>
      </w:pPr>
      <w:rPr>
        <w:rFonts w:hint="default"/>
        <w:lang w:val="pt-PT" w:eastAsia="en-US" w:bidi="ar-SA"/>
      </w:rPr>
    </w:lvl>
    <w:lvl w:ilvl="7" w:tplc="35EAB792">
      <w:numFmt w:val="bullet"/>
      <w:lvlText w:val="•"/>
      <w:lvlJc w:val="left"/>
      <w:pPr>
        <w:ind w:left="3475" w:hanging="361"/>
      </w:pPr>
      <w:rPr>
        <w:rFonts w:hint="default"/>
        <w:lang w:val="pt-PT" w:eastAsia="en-US" w:bidi="ar-SA"/>
      </w:rPr>
    </w:lvl>
    <w:lvl w:ilvl="8" w:tplc="CEF41F06">
      <w:numFmt w:val="bullet"/>
      <w:lvlText w:val="•"/>
      <w:lvlJc w:val="left"/>
      <w:pPr>
        <w:ind w:left="3849" w:hanging="361"/>
      </w:pPr>
      <w:rPr>
        <w:rFonts w:hint="default"/>
        <w:lang w:val="pt-PT" w:eastAsia="en-US" w:bidi="ar-SA"/>
      </w:rPr>
    </w:lvl>
  </w:abstractNum>
  <w:abstractNum w:abstractNumId="3" w15:restartNumberingAfterBreak="0">
    <w:nsid w:val="58690252"/>
    <w:multiLevelType w:val="hybridMultilevel"/>
    <w:tmpl w:val="FFFFFFFF"/>
    <w:lvl w:ilvl="0" w:tplc="722A19CE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73503476">
      <w:numFmt w:val="bullet"/>
      <w:lvlText w:val="•"/>
      <w:lvlJc w:val="left"/>
      <w:pPr>
        <w:ind w:left="1216" w:hanging="361"/>
      </w:pPr>
      <w:rPr>
        <w:rFonts w:hint="default"/>
        <w:lang w:val="pt-PT" w:eastAsia="en-US" w:bidi="ar-SA"/>
      </w:rPr>
    </w:lvl>
    <w:lvl w:ilvl="2" w:tplc="02C47A50">
      <w:numFmt w:val="bullet"/>
      <w:lvlText w:val="•"/>
      <w:lvlJc w:val="left"/>
      <w:pPr>
        <w:ind w:left="1592" w:hanging="361"/>
      </w:pPr>
      <w:rPr>
        <w:rFonts w:hint="default"/>
        <w:lang w:val="pt-PT" w:eastAsia="en-US" w:bidi="ar-SA"/>
      </w:rPr>
    </w:lvl>
    <w:lvl w:ilvl="3" w:tplc="AA228782">
      <w:numFmt w:val="bullet"/>
      <w:lvlText w:val="•"/>
      <w:lvlJc w:val="left"/>
      <w:pPr>
        <w:ind w:left="1968" w:hanging="361"/>
      </w:pPr>
      <w:rPr>
        <w:rFonts w:hint="default"/>
        <w:lang w:val="pt-PT" w:eastAsia="en-US" w:bidi="ar-SA"/>
      </w:rPr>
    </w:lvl>
    <w:lvl w:ilvl="4" w:tplc="0E621496">
      <w:numFmt w:val="bullet"/>
      <w:lvlText w:val="•"/>
      <w:lvlJc w:val="left"/>
      <w:pPr>
        <w:ind w:left="2344" w:hanging="361"/>
      </w:pPr>
      <w:rPr>
        <w:rFonts w:hint="default"/>
        <w:lang w:val="pt-PT" w:eastAsia="en-US" w:bidi="ar-SA"/>
      </w:rPr>
    </w:lvl>
    <w:lvl w:ilvl="5" w:tplc="1EBA5196">
      <w:numFmt w:val="bullet"/>
      <w:lvlText w:val="•"/>
      <w:lvlJc w:val="left"/>
      <w:pPr>
        <w:ind w:left="2721" w:hanging="361"/>
      </w:pPr>
      <w:rPr>
        <w:rFonts w:hint="default"/>
        <w:lang w:val="pt-PT" w:eastAsia="en-US" w:bidi="ar-SA"/>
      </w:rPr>
    </w:lvl>
    <w:lvl w:ilvl="6" w:tplc="58147C20">
      <w:numFmt w:val="bullet"/>
      <w:lvlText w:val="•"/>
      <w:lvlJc w:val="left"/>
      <w:pPr>
        <w:ind w:left="3097" w:hanging="361"/>
      </w:pPr>
      <w:rPr>
        <w:rFonts w:hint="default"/>
        <w:lang w:val="pt-PT" w:eastAsia="en-US" w:bidi="ar-SA"/>
      </w:rPr>
    </w:lvl>
    <w:lvl w:ilvl="7" w:tplc="671C2726">
      <w:numFmt w:val="bullet"/>
      <w:lvlText w:val="•"/>
      <w:lvlJc w:val="left"/>
      <w:pPr>
        <w:ind w:left="3473" w:hanging="361"/>
      </w:pPr>
      <w:rPr>
        <w:rFonts w:hint="default"/>
        <w:lang w:val="pt-PT" w:eastAsia="en-US" w:bidi="ar-SA"/>
      </w:rPr>
    </w:lvl>
    <w:lvl w:ilvl="8" w:tplc="3864AF8C">
      <w:numFmt w:val="bullet"/>
      <w:lvlText w:val="•"/>
      <w:lvlJc w:val="left"/>
      <w:pPr>
        <w:ind w:left="3849" w:hanging="361"/>
      </w:pPr>
      <w:rPr>
        <w:rFonts w:hint="default"/>
        <w:lang w:val="pt-PT" w:eastAsia="en-US" w:bidi="ar-SA"/>
      </w:rPr>
    </w:lvl>
  </w:abstractNum>
  <w:num w:numId="1" w16cid:durableId="1693070683">
    <w:abstractNumId w:val="0"/>
  </w:num>
  <w:num w:numId="2" w16cid:durableId="156000059">
    <w:abstractNumId w:val="2"/>
  </w:num>
  <w:num w:numId="3" w16cid:durableId="719477617">
    <w:abstractNumId w:val="3"/>
  </w:num>
  <w:num w:numId="4" w16cid:durableId="105423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9"/>
  <w:revisionView w:inkAnnotations="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D38E7"/>
    <w:rsid w:val="006D38E7"/>
    <w:rsid w:val="00D96BD6"/>
    <w:rsid w:val="00E21A43"/>
    <w:rsid w:val="00E46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D38B47"/>
  <w15:docId w15:val="{47637ED0-F184-5148-93DC-1B176A857677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keepNext w:val="0"/>
      <w:widowControl/>
      <w:spacing w:before="0" w:after="100" w:line="252" w:lineRule="auto"/>
      <w:ind w:left="0" w:right="0" w:firstLine="0"/>
    </w:pPr>
    <w:rPr>
      <w:rFonts w:ascii="Calibri" w:eastAsia="Calibri" w:hAnsi="Calibri" w:cs="Calibri"/>
      <w:b w:val="0"/>
      <w:i w:val="0"/>
      <w:color w:val="000000"/>
      <w:sz w:val="21"/>
      <w:lang w:val="pt-PT"/>
      <w:lang w:val="pt-BR"/>
    </w:rPr>
  </w:style>
  <w:style w:type="paragraph" w:styleId="Ttulo1">
    <w:name w:val="heading 1"/>
    <w:basedOn w:val="Normal"/>
    <w:uiPriority w:val="9"/>
    <w:qFormat/>
    <w:pPr>
      <w:keepNext/>
      <w:widowControl/>
      <w:spacing w:before="200" w:after="140" w:line="252" w:lineRule="auto"/>
      <w:ind w:left="0" w:right="0" w:firstLine="0"/>
      <w:outlineLvl w:val="0"/>
    </w:pPr>
    <w:rPr>
      <w:rFonts w:ascii="Calibri" w:hAnsi="Calibri"/>
      <w:b/>
      <w:bCs/>
      <w:i w:val="0"/>
      <w:color w:val="000000"/>
      <w:sz w:val="30"/>
      <w:szCs w:val="32"/>
      <w:lang w:val="pt-BR"/>
    </w:rPr>
  </w:style>
  <w:style w:type="paragraph" w:styleId="Ttulo2">
    <w:name w:val="heading 2"/>
    <w:basedOn w:val="Normal"/>
    <w:uiPriority w:val="9"/>
    <w:unhideWhenUsed/>
    <w:qFormat/>
    <w:pPr>
      <w:keepNext/>
      <w:widowControl/>
      <w:spacing w:before="200" w:after="140" w:line="252" w:lineRule="auto"/>
      <w:ind w:left="0" w:right="0" w:firstLine="0"/>
      <w:outlineLvl w:val="1"/>
    </w:pPr>
    <w:rPr>
      <w:rFonts w:ascii="Calibri" w:hAnsi="Calibri"/>
      <w:b/>
      <w:bCs/>
      <w:i w:val="0"/>
      <w:color w:val="000000"/>
      <w:sz w:val="24"/>
      <w:szCs w:val="24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04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620" w:hanging="477"/>
    </w:pPr>
  </w:style>
  <w:style w:type="paragraph" w:customStyle="1" w:styleId="TableParagraph">
    <w:name w:val="Table Paragraph"/>
    <w:basedOn w:val="Normal"/>
    <w:uiPriority w:val="1"/>
    <w:qFormat/>
    <w:pPr>
      <w:ind w:left="830" w:hanging="361"/>
      <w:jc w:val="both"/>
    </w:pPr>
  </w:style>
  <w:style w:type="paragraph" w:customStyle="1" w:styleId="Title">
    <w:name w:val="Title"/>
    <w:basedOn w:val="Normal"/>
    <w:pPr>
      <w:keepNext/>
      <w:widowControl/>
      <w:spacing w:before="0" w:after="100" w:line="252" w:lineRule="auto"/>
      <w:ind w:left="0" w:right="0" w:firstLine="0"/>
    </w:pPr>
    <w:rPr>
      <w:rFonts w:ascii="Calibri" w:hAnsi="Calibri"/>
      <w:b/>
      <w:i w:val="0"/>
      <w:color w:val="000000"/>
      <w:sz w:val="40"/>
      <w:lang w:val="pt-BR"/>
    </w:rPr>
  </w:style>
  <w:style w:type="paragraph" w:customStyle="1" w:styleId="Subtitle">
    <w:name w:val="Subtitle"/>
    <w:basedOn w:val="Normal"/>
    <w:pPr>
      <w:keepNext/>
      <w:widowControl/>
      <w:spacing w:before="0" w:after="100" w:line="252" w:lineRule="auto"/>
      <w:ind w:left="0" w:right="0" w:firstLine="0"/>
    </w:pPr>
    <w:rPr>
      <w:rFonts w:ascii="Calibri" w:hAnsi="Calibri"/>
      <w:b w:val="0"/>
      <w:i w:val="0"/>
      <w:color w:val="000000"/>
      <w:sz w:val="26"/>
      <w:lang w:val="pt-BR"/>
    </w:rPr>
  </w:style>
  <w:style w:type="paragraph" w:customStyle="1" w:styleId="Orientação">
    <w:name w:val="Orientação"/>
    <w:basedOn w:val="Normal"/>
    <w:pPr>
      <w:keepNext w:val="0"/>
      <w:widowControl/>
      <w:spacing w:before="0" w:after="100" w:line="252" w:lineRule="auto"/>
      <w:ind w:left="0" w:right="0" w:firstLine="0"/>
    </w:pPr>
    <w:rPr>
      <w:rFonts w:ascii="Calibri" w:hAnsi="Calibri"/>
      <w:b w:val="0"/>
      <w:i w:val="0"/>
      <w:color w:val="404040"/>
      <w:sz w:val="20"/>
      <w:lang w:val="pt-BR"/>
    </w:rPr>
  </w:style>
  <w:style w:type="paragraph" w:customStyle="1" w:styleId="Campoeditável">
    <w:name w:val="Campo editável"/>
    <w:basedOn w:val="Normal"/>
    <w:pPr>
      <w:keepNext w:val="0"/>
      <w:widowControl/>
      <w:spacing w:before="0" w:after="100" w:line="252" w:lineRule="auto"/>
      <w:ind w:left="0" w:right="0" w:firstLine="0"/>
    </w:pPr>
    <w:rPr>
      <w:rFonts w:ascii="Calibri" w:hAnsi="Calibri"/>
      <w:b w:val="0"/>
      <w:i/>
      <w:color w:val="234E70"/>
      <w:sz w:val="21"/>
      <w:lang w:val="pt-BR"/>
    </w:rPr>
  </w:style>
  <w:style w:type="paragraph" w:customStyle="1" w:styleId="Fonte">
    <w:name w:val="Fonte"/>
    <w:basedOn w:val="Normal"/>
    <w:pPr>
      <w:keepNext w:val="0"/>
      <w:widowControl/>
      <w:spacing w:before="0" w:after="100" w:line="252" w:lineRule="auto"/>
      <w:ind w:left="0" w:right="0" w:firstLine="0"/>
    </w:pPr>
    <w:rPr>
      <w:rFonts w:ascii="Calibri" w:hAnsi="Calibri"/>
      <w:b w:val="0"/>
      <w:i w:val="0"/>
      <w:color w:val="404040"/>
      <w:sz w:val="18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7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jpeg"/><Relationship Id="rId16" Type="http://schemas.openxmlformats.org/officeDocument/2006/relationships/footer" Target="footer4.xml"/><Relationship Id="rId17" Type="http://schemas.openxmlformats.org/officeDocument/2006/relationships/header" Target="header4.xml"/><Relationship Id="rId18" Type="http://schemas.openxmlformats.org/officeDocument/2006/relationships/hyperlink" Target="https://www.gov.br/gestao/pt-br/assuntos/estatais/central-de-conteudo/kits-governanca-ti/kit-2/gestao-de-riscos-de-seguranca-da-informacao/kit-2-governanca-tic-artefato-gestao-de-riscos-de-seguranca-da-informacao.pdf" TargetMode="External"/><Relationship Id="rId19" Type="http://schemas.openxmlformats.org/officeDocument/2006/relationships/hyperlink" Target="https://www.aena.es/sites/Satellite?blobcol=urldata&amp;blobkey=id&amp;blobtable=MungoBlobs&amp;blobwhere=1576874115175&amp;ssbinary=true" TargetMode="External"/><Relationship Id="rId20" Type="http://schemas.openxmlformats.org/officeDocument/2006/relationships/hyperlink" Target="https://static.voegol.com.br/voegol/2025-06-27/PO-DTI-SC-003-Pol%C3%ADtica%20de%20Seguran%C3%A7a%20da%20Informa%C3%A7%C3%A3o%20para%20Terceiro_r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567</Words>
  <Characters>3065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Arthur, Isadora, Caio, Higor, Sabrina, Gustavo</dc:creator>
  <cp:lastModifiedBy>Equipe AeroLog</cp:lastModifiedBy>
  <cp:revision>2</cp:revision>
  <dcterms:created xsi:type="dcterms:W3CDTF">2026-09-09T16:50:00Z</dcterms:created>
  <dcterms:modified xsi:type="dcterms:W3CDTF">2026-09-09T16:50:00Z</dcterms:modified>
  <dc:title>Política de Gestão de Riscos da AeroLog</dc:title>
  <dc:subject>Modelo base acadêmico editável</dc:subject>
  <dc:description/>
  <cp:keywords>AeroLog, PGR, modelo base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2026-08-20T00:00:00Z</vt:filetime>
  </property>
</Properties>
</file>