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428108"/>
            <wp:docPr id="1" name="Picture 1" descr="Logotipo UNIPAM do documento acadêmico de referênci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428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b/>
          <w:sz w:val="26"/>
        </w:rPr>
        <w:t>UNIPAM</w:t>
      </w:r>
    </w:p>
    <w:p>
      <w:pPr>
        <w:spacing w:before="0" w:after="80"/>
        <w:jc w:val="center"/>
      </w:pPr>
      <w:r>
        <w:rPr>
          <w:b/>
          <w:sz w:val="24"/>
        </w:rPr>
        <w:t>CURSO DE SISTEMAS DE INFORMAÇÃO</w:t>
      </w:r>
    </w:p>
    <w:p>
      <w:pPr>
        <w:spacing w:before="0" w:after="80"/>
        <w:jc w:val="center"/>
      </w:pPr>
      <w:r>
        <w:rPr>
          <w:b w:val="0"/>
          <w:sz w:val="24"/>
        </w:rPr>
        <w:t>Auditoria e Segurança de Sistemas</w:t>
      </w:r>
    </w:p>
    <w:p>
      <w:pPr>
        <w:spacing w:before="0" w:after="0"/>
        <w:jc w:val="center"/>
      </w:pPr>
      <w:r>
        <w:rPr>
          <w:b w:val="0"/>
          <w:sz w:val="21"/>
        </w:rPr>
        <w:t>Turma / período: [preencher]</w:t>
      </w:r>
    </w:p>
    <w:p>
      <w:pPr>
        <w:spacing w:before="640" w:after="160"/>
        <w:jc w:val="center"/>
      </w:pPr>
      <w:r>
        <w:rPr>
          <w:b/>
          <w:sz w:val="22"/>
        </w:rPr>
        <w:t>EQUIPE</w:t>
      </w:r>
    </w:p>
    <w:p>
      <w:pPr>
        <w:spacing w:before="0" w:after="0"/>
        <w:jc w:val="center"/>
      </w:pPr>
      <w:r>
        <w:rPr>
          <w:b w:val="0"/>
          <w:sz w:val="24"/>
        </w:rPr>
        <w:t>Arthur • Isadora • Caio</w:t>
        <w:br/>
        <w:t>Higor • Sabrina • Gustavo</w:t>
      </w:r>
    </w:p>
    <w:p>
      <w:pPr>
        <w:pStyle w:val="Title"/>
        <w:spacing w:before="1160" w:after="180"/>
        <w:jc w:val="center"/>
      </w:pPr>
      <w:r>
        <w:t>Política de Gestão de Riscos</w:t>
      </w:r>
    </w:p>
    <w:p>
      <w:pPr>
        <w:pStyle w:val="Subtitle"/>
        <w:spacing w:before="0" w:after="140"/>
        <w:jc w:val="center"/>
      </w:pPr>
      <w:r>
        <w:t>AeroLog Transportes Aéreos</w:t>
      </w:r>
    </w:p>
    <w:p>
      <w:pPr>
        <w:spacing w:before="0" w:after="0"/>
        <w:jc w:val="center"/>
      </w:pPr>
      <w:r>
        <w:rPr>
          <w:b w:val="0"/>
          <w:sz w:val="22"/>
        </w:rPr>
        <w:t>PGR — Modelo base editável</w:t>
      </w:r>
    </w:p>
    <w:p>
      <w:pPr>
        <w:spacing w:before="2400" w:after="80"/>
        <w:jc w:val="center"/>
      </w:pPr>
      <w:r>
        <w:rPr>
          <w:b w:val="0"/>
          <w:sz w:val="22"/>
        </w:rPr>
        <w:t>[Cidade]</w:t>
      </w:r>
    </w:p>
    <w:p>
      <w:pPr>
        <w:spacing w:before="0" w:after="0"/>
        <w:jc w:val="center"/>
      </w:pPr>
      <w:r>
        <w:rPr>
          <w:b w:val="0"/>
          <w:sz w:val="22"/>
        </w:rPr>
        <w:t>2026</w:t>
      </w:r>
    </w:p>
    <w:p>
      <w:pPr>
        <w:pageBreakBefore/>
        <w:spacing w:before="0" w:after="0"/>
        <w:jc w:val="center"/>
      </w:pPr>
      <w:r>
        <w:rPr>
          <w:b w:val="0"/>
          <w:sz w:val="24"/>
        </w:rPr>
        <w:t>Arthur • Isadora • Caio</w:t>
        <w:br/>
        <w:t>Higor • Sabrina • Gustavo</w:t>
      </w:r>
    </w:p>
    <w:p>
      <w:pPr>
        <w:pStyle w:val="Title"/>
        <w:spacing w:before="1700" w:after="180"/>
        <w:jc w:val="center"/>
      </w:pPr>
      <w:r>
        <w:t>Política de Gestão de Riscos</w:t>
      </w:r>
    </w:p>
    <w:p>
      <w:pPr>
        <w:pStyle w:val="Subtitle"/>
        <w:spacing w:before="0" w:after="800"/>
        <w:jc w:val="center"/>
      </w:pPr>
      <w:r>
        <w:t>AeroLog Transportes Aéreos</w:t>
      </w:r>
    </w:p>
    <w:p>
      <w:pPr>
        <w:spacing w:after="240"/>
        <w:ind w:left="4252"/>
      </w:pPr>
      <w:r>
        <w:t>Modelo base elaborado para a atividade de Auditoria e Segurança de Sistemas, do curso de Sistemas de Informação da UNIPAM, referente ao estudo de caso da AeroLog Transportes Aéreos.</w:t>
      </w:r>
    </w:p>
    <w:p>
      <w:pPr>
        <w:ind w:left="4252"/>
      </w:pPr>
      <w:r>
        <w:t>Professor(a): [preencher]</w:t>
      </w:r>
    </w:p>
    <w:p>
      <w:pPr>
        <w:ind w:left="4252"/>
      </w:pPr>
      <w:r>
        <w:t>Turma / período: [preencher]</w:t>
      </w:r>
    </w:p>
    <w:p>
      <w:pPr>
        <w:ind w:left="4252"/>
      </w:pPr>
      <w:r>
        <w:t>Data de entrega: [preencher]</w:t>
      </w:r>
    </w:p>
    <w:p>
      <w:pPr>
        <w:spacing w:before="600" w:after="120"/>
        <w:jc w:val="center"/>
      </w:pPr>
      <w:r>
        <w:rPr>
          <w:b w:val="0"/>
          <w:sz w:val="21"/>
        </w:rPr>
        <w:t>Elaboração principal: Caio e Higor</w:t>
      </w:r>
    </w:p>
    <w:p>
      <w:pPr>
        <w:spacing w:before="0" w:after="120"/>
        <w:jc w:val="center"/>
      </w:pPr>
      <w:r>
        <w:rPr>
          <w:b w:val="0"/>
          <w:sz w:val="21"/>
        </w:rPr>
        <w:t>Revisão e integração: os seis integrantes</w:t>
      </w:r>
    </w:p>
    <w:p>
      <w:pPr>
        <w:spacing w:before="1960" w:after="80"/>
        <w:jc w:val="center"/>
      </w:pPr>
      <w:r>
        <w:rPr>
          <w:b w:val="0"/>
          <w:sz w:val="22"/>
        </w:rPr>
        <w:t>[Cidade]</w:t>
      </w:r>
    </w:p>
    <w:p>
      <w:pPr>
        <w:spacing w:before="0" w:after="0"/>
        <w:jc w:val="center"/>
      </w:pPr>
      <w:r>
        <w:rPr>
          <w:b w:val="0"/>
          <w:sz w:val="22"/>
        </w:rPr>
        <w:t>2026</w:t>
      </w:r>
    </w:p>
    <w:p>
      <w:pPr>
        <w:sectPr>
          <w:headerReference w:type="default" r:id="rId7"/>
          <w:footerReference w:type="default" r:id="rId10"/>
          <w:headerReference w:type="first" r:id="rId11"/>
          <w:footerReference w:type="first" r:id="rId12"/>
          <w:headerReference w:type="even" r:id="rId13"/>
          <w:footerReference w:type="even" r:id="rId14"/>
          <w:pgSz w:w="11906" w:h="16838"/>
          <w:pgMar w:top="1020" w:right="1134" w:bottom="1020" w:left="1134" w:header="397" w:footer="454" w:gutter="0"/>
          <w:cols w:space="720"/>
        </w:sectPr>
      </w:pPr>
    </w:p>
    <w:p>
      <w:pPr>
        <w:pStyle w:val="Subtitle"/>
      </w:pPr>
      <w:r>
        <w:rPr>
          <w:b/>
        </w:rPr>
        <w:t>Orientações para a equipe</w:t>
      </w:r>
    </w:p>
    <w:p>
      <w:pPr>
        <w:pStyle w:val="Orientação"/>
      </w:pPr>
      <w:r>
        <w:rPr>
          <w:b/>
        </w:rPr>
        <w:t xml:space="preserve">Finalidade deste arquivo: </w:t>
      </w:r>
      <w:r>
        <w:t>Oferecer uma base para a dupla começar a escrever, com contexto, textos iniciais e tabelas. As escolhas ainda em aberto aparecem entre colchetes. Este modelo não representa uma política aprovada nem um plano já implantado na AeroLog.</w:t>
      </w:r>
    </w:p>
    <w:p>
      <w:pPr>
        <w:pStyle w:val="Orientação"/>
      </w:pPr>
      <w:r>
        <w:rPr>
          <w:b/>
        </w:rPr>
        <w:t xml:space="preserve">Como usar: </w:t>
      </w:r>
      <w:r>
        <w:t>Leia a orientação da seção, adapte o texto inicial e complete os campos. Confirme com a outra dupla as decisões que afetarem mais de um documento. Na versão de entrega, retire as instruções de elaboração e preserve o conteúdo final, as referências e as premissas adotadas.</w:t>
      </w:r>
    </w:p>
    <w:p>
      <w:pPr>
        <w:pStyle w:val="Orientação"/>
      </w:pPr>
      <w:r>
        <w:rPr>
          <w:b/>
        </w:rPr>
        <w:t xml:space="preserve">FATO DO ESTUDO DE CASO: </w:t>
      </w:r>
      <w:r>
        <w:t>Informação explícita no PDF. Um requisito do enunciado, como propor backup offline, não prova que esse recurso já exista.</w:t>
      </w:r>
    </w:p>
    <w:p>
      <w:pPr>
        <w:pStyle w:val="Orientação"/>
      </w:pPr>
      <w:r>
        <w:rPr>
          <w:b/>
        </w:rPr>
        <w:t xml:space="preserve">PREMISSA ACADÊMICA: </w:t>
      </w:r>
      <w:r>
        <w:t>Escolha feita para construir a atividade, como frequência, responsável organizacional ou recurso de contingência. Os exemplos de controles são propostas para avaliação do grupo.</w:t>
      </w:r>
    </w:p>
    <w:p>
      <w:pPr>
        <w:pStyle w:val="Orientação"/>
      </w:pPr>
      <w:r>
        <w:rPr>
          <w:b/>
        </w:rPr>
        <w:t xml:space="preserve">REFERÊNCIA EXTERNA: </w:t>
      </w:r>
      <w:r>
        <w:t>Documento real usado para apoiar conceitos, organização ou linguagem. Seus cargos, ferramentas e prazos não se tornam automaticamente os da AeroLog.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7370"/>
      </w:tblGrid>
      <w:tr>
        <w:trPr>
          <w:cantSplit/>
          <w:tblHeader/>
        </w:trPr>
        <w:tc>
          <w:tcPr>
            <w:tcW w:type="dxa" w:w="2268"/>
            <w:vAlign w:val="center"/>
            <w:shd w:fill="E7EDF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/>
                <w:sz w:val="19"/>
              </w:rPr>
              <w:t>Quem escreve</w:t>
            </w:r>
          </w:p>
        </w:tc>
        <w:tc>
          <w:tcPr>
            <w:tcW w:type="dxa" w:w="7370"/>
            <w:vAlign w:val="center"/>
            <w:shd w:fill="E7EDF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/>
                <w:sz w:val="19"/>
              </w:rPr>
              <w:t>Partes sob responsabilidade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Caio</w:t>
            </w:r>
          </w:p>
        </w:tc>
        <w:tc>
          <w:tcPr>
            <w:tcW w:type="dxa" w:w="737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1, 2 e 3: escopo, método, identificação e avaliação.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Higor</w:t>
            </w:r>
          </w:p>
        </w:tc>
        <w:tc>
          <w:tcPr>
            <w:tcW w:type="dxa" w:w="7370"/>
            <w:vAlign w:val="center"/>
            <w:shd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4, 5 e 6: tratamento, responsabilidades e monitoramento.</w:t>
            </w:r>
          </w:p>
        </w:tc>
      </w:tr>
    </w:tbl>
    <w:p>
      <w:pPr>
        <w:spacing w:after="20"/>
      </w:pPr>
    </w:p>
    <w:p>
      <w:pPr>
        <w:pStyle w:val="Orientação"/>
      </w:pPr>
      <w:r>
        <w:rPr>
          <w:b/>
        </w:rPr>
        <w:t xml:space="preserve">Integração entre os documentos: </w:t>
      </w:r>
      <w:r>
        <w:t>Arthur e Isadora definem as regras na PSI. Caio organiza e avalia os riscos; Higor propõe os tratamentos na PGR. Sabrina e Gustavo usam esses mesmos riscos e controles para elaborar o PCN.</w:t>
      </w:r>
    </w:p>
    <w:p>
      <w:pPr>
        <w:pStyle w:val="Orientação"/>
      </w:pPr>
      <w:r>
        <w:rPr>
          <w:b/>
        </w:rPr>
        <w:t xml:space="preserve">Responsáveis da empresa: </w:t>
      </w:r>
      <w:r>
        <w:t>Quando uma tabela pedir “responsável”, use a função da AeroLog, como TI ou gestor da área. Os nomes dos alunos identificam apenas a autoria acadêmica.</w:t>
      </w:r>
    </w:p>
    <w:p>
      <w:pPr>
        <w:pStyle w:val="Orientação"/>
      </w:pPr>
      <w:r>
        <w:rPr>
          <w:b/>
        </w:rPr>
        <w:t xml:space="preserve">Dados acadêmicos: </w:t>
      </w:r>
      <w:r>
        <w:t>Instituição e curso seguem o exemplo enviado; a disciplina foi informada pelo grupo. Completar professor, turma/período, cidade, data de entrega e nomes completos, se a instituição exigir.</w:t>
      </w:r>
    </w:p>
    <w:p>
      <w:pPr>
        <w:pStyle w:val="Orientação"/>
      </w:pPr>
      <w:r>
        <w:rPr>
          <w:b/>
        </w:rPr>
        <w:t xml:space="preserve">Controle do modelo: </w:t>
      </w:r>
      <w:r>
        <w:t>Versão 0.2 | 08/10/2026 | Guardar os prompts para o documento adicional solicitado no enunciado.</w:t>
      </w:r>
    </w:p>
    <w:p>
      <w:pPr>
        <w:pStyle w:val="Ttulo1"/>
        <w:pageBreakBefore/>
      </w:pPr>
      <w:r>
        <w:t>1. Objetivo e Escopo</w:t>
      </w:r>
    </w:p>
    <w:p>
      <w:pPr>
        <w:pStyle w:val="Orientação"/>
      </w:pPr>
      <w:r>
        <w:rPr>
          <w:b/>
        </w:rPr>
        <w:t xml:space="preserve">Quem escreve: </w:t>
      </w:r>
      <w:r>
        <w:t>Caio</w:t>
      </w:r>
    </w:p>
    <w:p>
      <w:pPr>
        <w:pStyle w:val="Orientação"/>
      </w:pPr>
      <w:r>
        <w:rPr>
          <w:b/>
        </w:rPr>
        <w:t xml:space="preserve">Objetivo da seção: </w:t>
      </w:r>
      <w:r>
        <w:t>Explicar por que avaliar riscos e quais ativos serão considerados.</w:t>
      </w:r>
    </w:p>
    <w:p>
      <w:pPr>
        <w:pStyle w:val="Orientação"/>
      </w:pPr>
      <w:r>
        <w:rPr>
          <w:b/>
        </w:rPr>
        <w:t xml:space="preserve">O que escrever: </w:t>
      </w:r>
      <w:r>
        <w:t>Defina a finalidade da PGR e o limite da análise. Inclua reservas, emissão de passagens, dados dos passageiros, infraestrutura local, sistemas embarcados e suporte externo. Use os mesmos termos da PSI.</w:t>
      </w:r>
    </w:p>
    <w:p>
      <w:pPr>
        <w:pStyle w:val="Orientação"/>
      </w:pPr>
      <w:r>
        <w:rPr>
          <w:b/>
        </w:rPr>
        <w:t xml:space="preserve">Fato do estudo de caso: </w:t>
      </w:r>
      <w:r>
        <w:t>A AeroLog atua com cargas e passageiros, atende 20 cidades, tem 1.100 funcionários, 50 servidores locais, TI própria e suporte internacional de software de navegação.</w:t>
      </w:r>
    </w:p>
    <w:p>
      <w:pPr>
        <w:pStyle w:val="Orientação"/>
      </w:pPr>
      <w:r>
        <w:rPr>
          <w:b/>
        </w:rPr>
        <w:t xml:space="preserve">Referências que podem ajudar: </w:t>
      </w:r>
      <w:r>
        <w:t>Kit 2 do MGI e política de riscos da Aena.</w:t>
      </w:r>
    </w:p>
    <w:p>
      <w:pPr>
        <w:pStyle w:val="Orientação"/>
      </w:pPr>
      <w:r>
        <w:rPr>
          <w:b/>
        </w:rPr>
        <w:t xml:space="preserve">Alinhamento necessário: </w:t>
      </w:r>
      <w:r>
        <w:t>Arthur e Isadora precisam confirmar o mesmo escopo na PSI; Sabrina e Gustavo utilizarão os processos afetados no PCN.</w:t>
      </w:r>
    </w:p>
    <w:p>
      <w:pPr>
        <w:pStyle w:val="Orientação"/>
      </w:pPr>
      <w:r>
        <w:rPr>
          <w:b/>
        </w:rPr>
        <w:t xml:space="preserve">Texto inicial para adaptar: </w:t>
      </w:r>
      <w:r>
        <w:t>Esta PGR orienta a identificação, a avaliação e o tratamento dos riscos de segurança da informação da AeroLog, considerando os sistemas de reservas, os dados dos passageiros, a infraestrutura de TI e os sistemas críticos relacionados às operações aéreas.</w:t>
      </w:r>
    </w:p>
    <w:p>
      <w:pPr>
        <w:pStyle w:val="Campoeditável"/>
      </w:pPr>
      <w:r>
        <w:rPr>
          <w:b/>
        </w:rPr>
        <w:t xml:space="preserve">Completar pela equipe: </w:t>
      </w:r>
      <w:r>
        <w:t>[Confirmar os limites dos ativos e processos. Não afirmar a existência de plataformas ou controles não descritos no caso.]</w:t>
      </w:r>
    </w:p>
    <w:p>
      <w:pPr>
        <w:pStyle w:val="Orientação"/>
      </w:pPr>
      <w:r>
        <w:rPr>
          <w:b/>
        </w:rPr>
        <w:t xml:space="preserve">Contexto já identificado: </w:t>
      </w:r>
      <w:r>
        <w:t>O caso relata DDoS e tentativas de fraude. Também exige analisar riscos de suporte externo, sistemas embarcados e sistemas legados. O último treinamento ocorreu há quatro anos; a renovação de equipamentos ocorre, em média, a cada cinco anos.</w:t>
      </w:r>
    </w:p>
    <w:p>
      <w:pPr>
        <w:pStyle w:val="Orientação"/>
      </w:pPr>
      <w:r>
        <w:rPr>
          <w:b/>
        </w:rPr>
        <w:t xml:space="preserve">Limite da evidência: </w:t>
      </w:r>
      <w:r>
        <w:t>O estudo não apresenta histórico quantitativo de incidentes, inventário de controles, custos de interrupção ou garantias de disponibilidade. As classificações deverão ser estimativas acadêmicas justificadas.</w:t>
      </w:r>
    </w:p>
    <w:p>
      <w:pPr>
        <w:pStyle w:val="Ttulo1"/>
        <w:pageBreakBefore/>
      </w:pPr>
      <w:r>
        <w:t>2. Metodologia de Avaliação</w:t>
      </w:r>
    </w:p>
    <w:p>
      <w:pPr>
        <w:pStyle w:val="Orientação"/>
      </w:pPr>
      <w:r>
        <w:rPr>
          <w:b/>
        </w:rPr>
        <w:t xml:space="preserve">Quem escreve: </w:t>
      </w:r>
      <w:r>
        <w:t>Caio</w:t>
      </w:r>
    </w:p>
    <w:p>
      <w:pPr>
        <w:pStyle w:val="Orientação"/>
      </w:pPr>
      <w:r>
        <w:rPr>
          <w:b/>
        </w:rPr>
        <w:t xml:space="preserve">Objetivo da seção: </w:t>
      </w:r>
      <w:r>
        <w:t>Definir uma regra única para classificar todos os riscos.</w:t>
      </w:r>
    </w:p>
    <w:p>
      <w:pPr>
        <w:pStyle w:val="Orientação"/>
      </w:pPr>
      <w:r>
        <w:rPr>
          <w:b/>
        </w:rPr>
        <w:t xml:space="preserve">O que escrever: </w:t>
      </w:r>
      <w:r>
        <w:t>Explique probabilidade como a possibilidade de ocorrência e impacto como a gravidade das consequências. Confirme as escalas e a matriz antes de avaliar os cinco riscos. Considere controles existentes somente quando houver evidência no caso.</w:t>
      </w:r>
    </w:p>
    <w:p>
      <w:pPr>
        <w:pStyle w:val="Orientação"/>
      </w:pPr>
      <w:r>
        <w:rPr>
          <w:b/>
        </w:rPr>
        <w:t xml:space="preserve">Fato do estudo de caso: </w:t>
      </w:r>
      <w:r>
        <w:t>Há ameaças relatadas, mas o PDF não fornece dados suficientes para calcular probabilidades estatísticas ou prejuízos financeiros.</w:t>
      </w:r>
    </w:p>
    <w:p>
      <w:pPr>
        <w:pStyle w:val="Orientação"/>
      </w:pPr>
      <w:r>
        <w:rPr>
          <w:b/>
        </w:rPr>
        <w:t xml:space="preserve">Referências que podem ajudar: </w:t>
      </w:r>
      <w:r>
        <w:t>Kit 2 do MGI e Aena, ciclo de identificação, avaliação e tratamento.</w:t>
      </w:r>
    </w:p>
    <w:p>
      <w:pPr>
        <w:pStyle w:val="Orientação"/>
      </w:pPr>
      <w:r>
        <w:rPr>
          <w:b/>
        </w:rPr>
        <w:t xml:space="preserve">Alinhamento necessário: </w:t>
      </w:r>
      <w:r>
        <w:t>Higor usará os resultados para priorizar tratamentos. Sabrina avaliará impactos de interrupção sem confundir nível do risco com ordem de recuperação.</w:t>
      </w:r>
    </w:p>
    <w:p>
      <w:pPr>
        <w:pStyle w:val="Orientação"/>
      </w:pPr>
      <w:r>
        <w:rPr>
          <w:b/>
        </w:rPr>
        <w:t xml:space="preserve">Texto inicial para adaptar: </w:t>
      </w:r>
      <w:r>
        <w:t>A avaliação será qualitativa. Cada risco receberá uma classificação de probabilidade e de impacto, acompanhada de justificativa baseada no caso e nas premissas registradas pela equipe.</w:t>
      </w:r>
    </w:p>
    <w:p>
      <w:pPr>
        <w:pStyle w:val="Campoeditável"/>
      </w:pPr>
      <w:r>
        <w:rPr>
          <w:b/>
        </w:rPr>
        <w:t xml:space="preserve">Completar pela equipe: </w:t>
      </w:r>
      <w:r>
        <w:t>[Caio deve validar a proposta abaixo com Higor e com o grupo antes de preencher a avaliação.]</w:t>
      </w:r>
    </w:p>
    <w:p>
      <w:pPr>
        <w:pStyle w:val="Orientação"/>
      </w:pPr>
      <w:r>
        <w:rPr>
          <w:b/>
        </w:rPr>
        <w:t xml:space="preserve">PREMISSA ACADÊMICA — escalas sugeridas: </w:t>
      </w:r>
      <w:r>
        <w:t>Estes critérios são uma proposta simples para a atividade e podem ser ajustados pelo grupo; não são dados medidos da AeroLog.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65"/>
        <w:gridCol w:w="6973"/>
      </w:tblGrid>
      <w:tr>
        <w:trPr>
          <w:cantSplit/>
          <w:tblHeader/>
        </w:trPr>
        <w:tc>
          <w:tcPr>
            <w:tcW w:type="dxa" w:w="2665"/>
            <w:vAlign w:val="center"/>
            <w:shd w:fill="E7EDF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/>
                <w:sz w:val="19"/>
              </w:rPr>
              <w:t>Escala</w:t>
            </w:r>
          </w:p>
        </w:tc>
        <w:tc>
          <w:tcPr>
            <w:tcW w:type="dxa" w:w="6973"/>
            <w:vAlign w:val="center"/>
            <w:shd w:fill="E7EDF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/>
                <w:sz w:val="19"/>
              </w:rPr>
              <w:t>Critério proposto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Probabilidade baixa</w:t>
            </w:r>
          </w:p>
        </w:tc>
        <w:tc>
          <w:tcPr>
            <w:tcW w:type="dxa" w:w="697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Ocorrência plausível, mas com exposição limitada justificada pela análise. Falta de histórico, isoladamente, não comprova baixa probabilidade.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Probabilidade média</w:t>
            </w:r>
          </w:p>
        </w:tc>
        <w:tc>
          <w:tcPr>
            <w:tcW w:type="dxa" w:w="6973"/>
            <w:vAlign w:val="center"/>
            <w:shd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Exposição plausível, com condições que podem permitir o evento, ainda sem evidência suficiente para classificá-lo como frequente.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Probabilidade alta</w:t>
            </w:r>
          </w:p>
        </w:tc>
        <w:tc>
          <w:tcPr>
            <w:tcW w:type="dxa" w:w="697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Exposição relevante ou ameaças já relatadas, com justificativa específica para a chance de ocorrência.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Impacto baixo / médio</w:t>
            </w:r>
          </w:p>
        </w:tc>
        <w:tc>
          <w:tcPr>
            <w:tcW w:type="dxa" w:w="6973"/>
            <w:vAlign w:val="center"/>
            <w:shd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Baixo: efeito localizado e limitado. Médio: prejuízo relevante ao processo, com alcance restrito.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Impacto alto / crítico</w:t>
            </w:r>
          </w:p>
        </w:tc>
        <w:tc>
          <w:tcPr>
            <w:tcW w:type="dxa" w:w="697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Alto: interrupção ou dano expressivo. Crítico: comprometimento grave de operação essencial, segurança operacional ou dados, conforme justificativa.</w:t>
            </w:r>
          </w:p>
        </w:tc>
      </w:tr>
    </w:tbl>
    <w:p>
      <w:pPr>
        <w:spacing w:after="20"/>
      </w:pPr>
    </w:p>
    <w:p>
      <w:pPr>
        <w:pStyle w:val="Orientação"/>
        <w:pageBreakBefore/>
      </w:pPr>
      <w:r>
        <w:rPr>
          <w:b/>
        </w:rPr>
        <w:t xml:space="preserve">Metodologia de Avaliação — matriz para validação </w:t>
      </w:r>
      <w:r/>
    </w:p>
    <w:p>
      <w:pPr>
        <w:pStyle w:val="Orientação"/>
      </w:pPr>
      <w:r>
        <w:rPr>
          <w:b/>
        </w:rPr>
        <w:t xml:space="preserve">PREMISSA ACADÊMICA — matriz sugerida: </w:t>
      </w:r>
      <w:r>
        <w:t>Combine a linha da probabilidade com a coluna do impacto. O resultado será o nível do risco. A matriz abaixo é proposta para o trabalho, não uma exigência de norma nem uma classificação já aprovada.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35"/>
        <w:gridCol w:w="1701"/>
        <w:gridCol w:w="1701"/>
        <w:gridCol w:w="1701"/>
        <w:gridCol w:w="1701"/>
      </w:tblGrid>
      <w:tr>
        <w:trPr>
          <w:cantSplit/>
          <w:tblHeader/>
        </w:trPr>
        <w:tc>
          <w:tcPr>
            <w:tcW w:type="dxa" w:w="2835"/>
            <w:vAlign w:val="center"/>
            <w:shd w:fill="E7EDF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/>
                <w:sz w:val="19"/>
              </w:rPr>
              <w:t>Probabilidade / impacto</w:t>
            </w:r>
          </w:p>
        </w:tc>
        <w:tc>
          <w:tcPr>
            <w:tcW w:type="dxa" w:w="1701"/>
            <w:vAlign w:val="center"/>
            <w:shd w:fill="E7EDF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/>
                <w:sz w:val="19"/>
              </w:rPr>
              <w:t>Baixo</w:t>
            </w:r>
          </w:p>
        </w:tc>
        <w:tc>
          <w:tcPr>
            <w:tcW w:type="dxa" w:w="1701"/>
            <w:vAlign w:val="center"/>
            <w:shd w:fill="E7EDF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/>
                <w:sz w:val="19"/>
              </w:rPr>
              <w:t>Médio</w:t>
            </w:r>
          </w:p>
        </w:tc>
        <w:tc>
          <w:tcPr>
            <w:tcW w:type="dxa" w:w="1701"/>
            <w:vAlign w:val="center"/>
            <w:shd w:fill="E7EDF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/>
                <w:sz w:val="19"/>
              </w:rPr>
              <w:t>Alto</w:t>
            </w:r>
          </w:p>
        </w:tc>
        <w:tc>
          <w:tcPr>
            <w:tcW w:type="dxa" w:w="1701"/>
            <w:vAlign w:val="center"/>
            <w:shd w:fill="E7EDF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/>
                <w:sz w:val="19"/>
              </w:rPr>
              <w:t>Crítico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Baixa</w:t>
            </w:r>
          </w:p>
        </w:tc>
        <w:tc>
          <w:tcPr>
            <w:tcW w:type="dxa" w:w="170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Baixo</w:t>
            </w:r>
          </w:p>
        </w:tc>
        <w:tc>
          <w:tcPr>
            <w:tcW w:type="dxa" w:w="170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Baixo</w:t>
            </w:r>
          </w:p>
        </w:tc>
        <w:tc>
          <w:tcPr>
            <w:tcW w:type="dxa" w:w="170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Médio</w:t>
            </w:r>
          </w:p>
        </w:tc>
        <w:tc>
          <w:tcPr>
            <w:tcW w:type="dxa" w:w="170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Alto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Média</w:t>
            </w:r>
          </w:p>
        </w:tc>
        <w:tc>
          <w:tcPr>
            <w:tcW w:type="dxa" w:w="1701"/>
            <w:vAlign w:val="center"/>
            <w:shd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Baixo</w:t>
            </w:r>
          </w:p>
        </w:tc>
        <w:tc>
          <w:tcPr>
            <w:tcW w:type="dxa" w:w="1701"/>
            <w:vAlign w:val="center"/>
            <w:shd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Médio</w:t>
            </w:r>
          </w:p>
        </w:tc>
        <w:tc>
          <w:tcPr>
            <w:tcW w:type="dxa" w:w="1701"/>
            <w:vAlign w:val="center"/>
            <w:shd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Alto</w:t>
            </w:r>
          </w:p>
        </w:tc>
        <w:tc>
          <w:tcPr>
            <w:tcW w:type="dxa" w:w="1701"/>
            <w:vAlign w:val="center"/>
            <w:shd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Crítico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Alta</w:t>
            </w:r>
          </w:p>
        </w:tc>
        <w:tc>
          <w:tcPr>
            <w:tcW w:type="dxa" w:w="170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Médio</w:t>
            </w:r>
          </w:p>
        </w:tc>
        <w:tc>
          <w:tcPr>
            <w:tcW w:type="dxa" w:w="170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Alto</w:t>
            </w:r>
          </w:p>
        </w:tc>
        <w:tc>
          <w:tcPr>
            <w:tcW w:type="dxa" w:w="170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Crítico</w:t>
            </w:r>
          </w:p>
        </w:tc>
        <w:tc>
          <w:tcPr>
            <w:tcW w:type="dxa" w:w="170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Crítico</w:t>
            </w:r>
          </w:p>
        </w:tc>
      </w:tr>
    </w:tbl>
    <w:p>
      <w:pPr>
        <w:spacing w:after="20"/>
      </w:pPr>
    </w:p>
    <w:p>
      <w:pPr>
        <w:pStyle w:val="Orientação"/>
      </w:pPr>
      <w:r>
        <w:rPr>
          <w:b/>
        </w:rPr>
        <w:t xml:space="preserve">Exemplo apenas do cálculo: </w:t>
      </w:r>
      <w:r>
        <w:t>Se uma avaliação justificar probabilidade alta e impacto alto, esta matriz retornará nível crítico. O exemplo não atribui esses valores a um risco real.</w:t>
      </w:r>
    </w:p>
    <w:p>
      <w:pPr>
        <w:pStyle w:val="Orientação"/>
      </w:pPr>
      <w:r>
        <w:rPr>
          <w:b/>
        </w:rPr>
        <w:t xml:space="preserve">Regra para consequências diferentes: </w:t>
      </w:r>
      <w:r>
        <w:t>Proposta: considerar a consequência mais grave justificada entre operação, pessoas, dados e efeitos financeiros ou reputacionais. Não estimar valores monetários ou acidentes sem base; descreva a consequência potencial.</w:t>
      </w:r>
    </w:p>
    <w:p>
      <w:pPr>
        <w:pStyle w:val="Campoeditável"/>
      </w:pPr>
      <w:r>
        <w:rPr>
          <w:b/>
        </w:rPr>
        <w:t xml:space="preserve">Critério de priorização a completar: </w:t>
      </w:r>
      <w:r>
        <w:t>[Definir como riscos críticos e altos serão encaminhados, quem pode aceitar risco e como tratar empates. A decisão não dispensa requisitos legais ou de segurança operacional.]</w:t>
      </w:r>
    </w:p>
    <w:p>
      <w:pPr>
        <w:pStyle w:val="Orientação"/>
      </w:pPr>
      <w:r>
        <w:rPr>
          <w:b/>
        </w:rPr>
        <w:t xml:space="preserve">Controle existente versus proposta: </w:t>
      </w:r>
      <w:r>
        <w:t>Uma medida sugerida por Higor ainda não reduz o risco atual. Se a equipe estimar um risco residual, deverá identificá-lo como projeção condicionada à implantação e à verificação do tratamento.</w:t>
      </w:r>
    </w:p>
    <w:p>
      <w:pPr>
        <w:pStyle w:val="Ttulo1"/>
        <w:pageBreakBefore/>
      </w:pPr>
      <w:r>
        <w:t>3. Identificação e Avaliação dos Riscos</w:t>
      </w:r>
    </w:p>
    <w:p>
      <w:pPr>
        <w:pStyle w:val="Orientação"/>
      </w:pPr>
      <w:r>
        <w:rPr>
          <w:b/>
        </w:rPr>
        <w:t xml:space="preserve">Quem escreve: </w:t>
      </w:r>
      <w:r>
        <w:t>Caio</w:t>
      </w:r>
    </w:p>
    <w:p>
      <w:pPr>
        <w:pStyle w:val="Orientação"/>
      </w:pPr>
      <w:r>
        <w:rPr>
          <w:b/>
        </w:rPr>
        <w:t xml:space="preserve">Objetivo da seção: </w:t>
      </w:r>
      <w:r>
        <w:t>Registrar o que pode acontecer, os ativos afetados e a gravidade justificada.</w:t>
      </w:r>
    </w:p>
    <w:p>
      <w:pPr>
        <w:pStyle w:val="Orientação"/>
      </w:pPr>
      <w:r>
        <w:rPr>
          <w:b/>
        </w:rPr>
        <w:t xml:space="preserve">O que escrever: </w:t>
      </w:r>
      <w:r>
        <w:t>Complete probabilidade, impacto, nível e justificativa de cada risco. Descreva causas ou fragilidades como hipóteses quando não forem comprovadas. Os IDs abaixo seguem a proposta do guia e devem permanecer iguais no PCN.</w:t>
      </w:r>
    </w:p>
    <w:p>
      <w:pPr>
        <w:pStyle w:val="Orientação"/>
      </w:pPr>
      <w:r>
        <w:rPr>
          <w:b/>
        </w:rPr>
        <w:t xml:space="preserve">Fato do estudo de caso: </w:t>
      </w:r>
      <w:r>
        <w:t>O PDF cita DDoS, fraude via GDS, comprometimento por suporte externo, sistemas embarcados e falhas de sistemas legados de controle de voo.</w:t>
      </w:r>
    </w:p>
    <w:p>
      <w:pPr>
        <w:pStyle w:val="Orientação"/>
      </w:pPr>
      <w:r>
        <w:rPr>
          <w:b/>
        </w:rPr>
        <w:t xml:space="preserve">Referências que podem ajudar: </w:t>
      </w:r>
      <w:r>
        <w:t>Kit 2 do MGI, formulários de riscos; Aena, identificação e avaliação.</w:t>
      </w:r>
    </w:p>
    <w:p>
      <w:pPr>
        <w:pStyle w:val="Orientação"/>
      </w:pPr>
      <w:r>
        <w:rPr>
          <w:b/>
        </w:rPr>
        <w:t xml:space="preserve">Alinhamento necessário: </w:t>
      </w:r>
      <w:r>
        <w:t>Higor depende deste catálogo para tratar os mesmos riscos. Sabrina e Gustavo dependem dos IDs e do alcance de cada risco para escrever os cenários.</w:t>
      </w:r>
    </w:p>
    <w:p>
      <w:pPr>
        <w:pStyle w:val="Orientação"/>
      </w:pPr>
      <w:r>
        <w:rPr>
          <w:b/>
        </w:rPr>
        <w:t xml:space="preserve">Texto inicial para adaptar: </w:t>
      </w:r>
      <w:r>
        <w:t>O registro inicial reúne os cinco riscos associados às situações descritas no estudo de caso. A avaliação de cada item deverá indicar os critérios aplicados e as limitações das informações disponíveis.</w:t>
      </w:r>
    </w:p>
    <w:p>
      <w:pPr>
        <w:pStyle w:val="Campoeditável"/>
      </w:pPr>
      <w:r>
        <w:rPr>
          <w:b/>
        </w:rPr>
        <w:t xml:space="preserve">Completar pela equipe: </w:t>
      </w:r>
      <w:r>
        <w:t>[Preencher a tabela e acrescentar uma justificativa breve para cada classificação.]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52"/>
        <w:gridCol w:w="3005"/>
        <w:gridCol w:w="2381"/>
        <w:gridCol w:w="1134"/>
        <w:gridCol w:w="1247"/>
        <w:gridCol w:w="1219"/>
      </w:tblGrid>
      <w:tr>
        <w:trPr>
          <w:cantSplit/>
          <w:tblHeader/>
        </w:trPr>
        <w:tc>
          <w:tcPr>
            <w:tcW w:type="dxa" w:w="652"/>
            <w:vAlign w:val="center"/>
            <w:shd w:fill="E7EDF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type="dxa" w:w="3005"/>
            <w:vAlign w:val="center"/>
            <w:shd w:fill="E7EDF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/>
                <w:sz w:val="19"/>
              </w:rPr>
              <w:t>Risco</w:t>
            </w:r>
          </w:p>
        </w:tc>
        <w:tc>
          <w:tcPr>
            <w:tcW w:type="dxa" w:w="2381"/>
            <w:vAlign w:val="center"/>
            <w:shd w:fill="E7EDF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/>
                <w:sz w:val="19"/>
              </w:rPr>
              <w:t>Ativo / processo</w:t>
            </w:r>
          </w:p>
        </w:tc>
        <w:tc>
          <w:tcPr>
            <w:tcW w:type="dxa" w:w="1134"/>
            <w:vAlign w:val="center"/>
            <w:shd w:fill="E7EDF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/>
                <w:sz w:val="19"/>
              </w:rPr>
              <w:t>Prob.</w:t>
            </w:r>
          </w:p>
        </w:tc>
        <w:tc>
          <w:tcPr>
            <w:tcW w:type="dxa" w:w="1247"/>
            <w:vAlign w:val="center"/>
            <w:shd w:fill="E7EDF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/>
                <w:sz w:val="19"/>
              </w:rPr>
              <w:t>Impacto</w:t>
            </w:r>
          </w:p>
        </w:tc>
        <w:tc>
          <w:tcPr>
            <w:tcW w:type="dxa" w:w="1219"/>
            <w:vAlign w:val="center"/>
            <w:shd w:fill="E7EDF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/>
                <w:sz w:val="19"/>
              </w:rPr>
              <w:t>Nível</w:t>
            </w:r>
          </w:p>
        </w:tc>
      </w:tr>
      <w:tr>
        <w:trPr>
          <w:cantSplit/>
        </w:trPr>
        <w:tc>
          <w:tcPr>
            <w:tcW w:type="dxa" w:w="65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R01</w:t>
            </w:r>
          </w:p>
        </w:tc>
        <w:tc>
          <w:tcPr>
            <w:tcW w:type="dxa" w:w="300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DDoS contra o sistema de reservas</w:t>
            </w:r>
          </w:p>
        </w:tc>
        <w:tc>
          <w:tcPr>
            <w:tcW w:type="dxa" w:w="238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Reservas</w:t>
            </w:r>
          </w:p>
        </w:tc>
        <w:tc>
          <w:tcPr>
            <w:tcW w:type="dxa" w:w="113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[definir]</w:t>
            </w:r>
          </w:p>
        </w:tc>
        <w:tc>
          <w:tcPr>
            <w:tcW w:type="dxa" w:w="1247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[definir]</w:t>
            </w:r>
          </w:p>
        </w:tc>
        <w:tc>
          <w:tcPr>
            <w:tcW w:type="dxa" w:w="1219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[definir]</w:t>
            </w:r>
          </w:p>
        </w:tc>
      </w:tr>
      <w:tr>
        <w:trPr>
          <w:cantSplit/>
        </w:trPr>
        <w:tc>
          <w:tcPr>
            <w:tcW w:type="dxa" w:w="652"/>
            <w:vAlign w:val="center"/>
            <w:shd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R02</w:t>
            </w:r>
          </w:p>
        </w:tc>
        <w:tc>
          <w:tcPr>
            <w:tcW w:type="dxa" w:w="3005"/>
            <w:vAlign w:val="center"/>
            <w:shd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Fraude na emissão de passagens via GDS</w:t>
            </w:r>
          </w:p>
        </w:tc>
        <w:tc>
          <w:tcPr>
            <w:tcW w:type="dxa" w:w="2381"/>
            <w:vAlign w:val="center"/>
            <w:shd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Emissão de passagens / GDS</w:t>
            </w:r>
          </w:p>
        </w:tc>
        <w:tc>
          <w:tcPr>
            <w:tcW w:type="dxa" w:w="1134"/>
            <w:vAlign w:val="center"/>
            <w:shd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[definir]</w:t>
            </w:r>
          </w:p>
        </w:tc>
        <w:tc>
          <w:tcPr>
            <w:tcW w:type="dxa" w:w="1247"/>
            <w:vAlign w:val="center"/>
            <w:shd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[definir]</w:t>
            </w:r>
          </w:p>
        </w:tc>
        <w:tc>
          <w:tcPr>
            <w:tcW w:type="dxa" w:w="1219"/>
            <w:vAlign w:val="center"/>
            <w:shd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[definir]</w:t>
            </w:r>
          </w:p>
        </w:tc>
      </w:tr>
      <w:tr>
        <w:trPr>
          <w:cantSplit/>
        </w:trPr>
        <w:tc>
          <w:tcPr>
            <w:tcW w:type="dxa" w:w="65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R03</w:t>
            </w:r>
          </w:p>
        </w:tc>
        <w:tc>
          <w:tcPr>
            <w:tcW w:type="dxa" w:w="300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Comprometimento de sistemas por suporte externo</w:t>
            </w:r>
          </w:p>
        </w:tc>
        <w:tc>
          <w:tcPr>
            <w:tcW w:type="dxa" w:w="238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Acesso de fornecedores / sistemas de navegação</w:t>
            </w:r>
          </w:p>
        </w:tc>
        <w:tc>
          <w:tcPr>
            <w:tcW w:type="dxa" w:w="113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[definir]</w:t>
            </w:r>
          </w:p>
        </w:tc>
        <w:tc>
          <w:tcPr>
            <w:tcW w:type="dxa" w:w="1247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[definir]</w:t>
            </w:r>
          </w:p>
        </w:tc>
        <w:tc>
          <w:tcPr>
            <w:tcW w:type="dxa" w:w="1219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[definir]</w:t>
            </w:r>
          </w:p>
        </w:tc>
      </w:tr>
      <w:tr>
        <w:trPr>
          <w:cantSplit/>
        </w:trPr>
        <w:tc>
          <w:tcPr>
            <w:tcW w:type="dxa" w:w="652"/>
            <w:vAlign w:val="center"/>
            <w:shd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R04</w:t>
            </w:r>
          </w:p>
        </w:tc>
        <w:tc>
          <w:tcPr>
            <w:tcW w:type="dxa" w:w="3005"/>
            <w:vAlign w:val="center"/>
            <w:shd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Falha de sistemas legados de controle de voo</w:t>
            </w:r>
          </w:p>
        </w:tc>
        <w:tc>
          <w:tcPr>
            <w:tcW w:type="dxa" w:w="2381"/>
            <w:vAlign w:val="center"/>
            <w:shd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Controle de voo / suporte às operações</w:t>
            </w:r>
          </w:p>
        </w:tc>
        <w:tc>
          <w:tcPr>
            <w:tcW w:type="dxa" w:w="1134"/>
            <w:vAlign w:val="center"/>
            <w:shd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[definir]</w:t>
            </w:r>
          </w:p>
        </w:tc>
        <w:tc>
          <w:tcPr>
            <w:tcW w:type="dxa" w:w="1247"/>
            <w:vAlign w:val="center"/>
            <w:shd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[definir]</w:t>
            </w:r>
          </w:p>
        </w:tc>
        <w:tc>
          <w:tcPr>
            <w:tcW w:type="dxa" w:w="1219"/>
            <w:vAlign w:val="center"/>
            <w:shd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[definir]</w:t>
            </w:r>
          </w:p>
        </w:tc>
      </w:tr>
      <w:tr>
        <w:trPr>
          <w:cantSplit/>
        </w:trPr>
        <w:tc>
          <w:tcPr>
            <w:tcW w:type="dxa" w:w="65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R05</w:t>
            </w:r>
          </w:p>
        </w:tc>
        <w:tc>
          <w:tcPr>
            <w:tcW w:type="dxa" w:w="300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Comprometimento de sistema crítico embarcado</w:t>
            </w:r>
          </w:p>
        </w:tc>
        <w:tc>
          <w:tcPr>
            <w:tcW w:type="dxa" w:w="238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Sistemas embarcados / operações de voo</w:t>
            </w:r>
          </w:p>
        </w:tc>
        <w:tc>
          <w:tcPr>
            <w:tcW w:type="dxa" w:w="113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[definir]</w:t>
            </w:r>
          </w:p>
        </w:tc>
        <w:tc>
          <w:tcPr>
            <w:tcW w:type="dxa" w:w="1247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[definir]</w:t>
            </w:r>
          </w:p>
        </w:tc>
        <w:tc>
          <w:tcPr>
            <w:tcW w:type="dxa" w:w="1219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[definir]</w:t>
            </w:r>
          </w:p>
        </w:tc>
      </w:tr>
    </w:tbl>
    <w:p>
      <w:pPr>
        <w:spacing w:after="20"/>
      </w:pPr>
    </w:p>
    <w:p>
      <w:pPr>
        <w:pStyle w:val="Orientação"/>
        <w:pageBreakBefore/>
      </w:pPr>
      <w:r>
        <w:rPr>
          <w:b/>
        </w:rPr>
        <w:t xml:space="preserve">Identificação e Avaliação dos Riscos — justificativas </w:t>
      </w:r>
      <w:r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80"/>
        <w:gridCol w:w="4649"/>
        <w:gridCol w:w="4309"/>
      </w:tblGrid>
      <w:tr>
        <w:trPr>
          <w:cantSplit/>
          <w:tblHeader/>
        </w:trPr>
        <w:tc>
          <w:tcPr>
            <w:tcW w:type="dxa" w:w="680"/>
            <w:vAlign w:val="center"/>
            <w:shd w:fill="E7EDF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type="dxa" w:w="4649"/>
            <w:vAlign w:val="center"/>
            <w:shd w:fill="E7EDF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/>
                <w:sz w:val="19"/>
              </w:rPr>
              <w:t>Questão que orienta a avaliação</w:t>
            </w:r>
          </w:p>
        </w:tc>
        <w:tc>
          <w:tcPr>
            <w:tcW w:type="dxa" w:w="4309"/>
            <w:vAlign w:val="center"/>
            <w:shd w:fill="E7EDF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/>
                <w:sz w:val="19"/>
              </w:rPr>
              <w:t>Justificativa da equipe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R01</w:t>
            </w:r>
          </w:p>
        </w:tc>
        <w:tc>
          <w:tcPr>
            <w:tcW w:type="dxa" w:w="4649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Como a exposição relatada a DDoS pode afetar as reservas, especialmente em alta demanda?</w:t>
            </w:r>
          </w:p>
        </w:tc>
        <w:tc>
          <w:tcPr>
            <w:tcW w:type="dxa" w:w="4309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[Explicar probabilidade e impacto.]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R02</w:t>
            </w:r>
          </w:p>
        </w:tc>
        <w:tc>
          <w:tcPr>
            <w:tcW w:type="dxa" w:w="4649"/>
            <w:vAlign w:val="center"/>
            <w:shd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Que consequências a emissão fraudulenta via GDS pode causar? Não confundir o GDS com todo o sistema de reservas.</w:t>
            </w:r>
          </w:p>
        </w:tc>
        <w:tc>
          <w:tcPr>
            <w:tcW w:type="dxa" w:w="4309"/>
            <w:vAlign w:val="center"/>
            <w:shd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[Explicar probabilidade e impacto.]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R03</w:t>
            </w:r>
          </w:p>
        </w:tc>
        <w:tc>
          <w:tcPr>
            <w:tcW w:type="dxa" w:w="4649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Como o suporte externo poderia ser uma via de comprometimento? A ausência de MFA não foi informada.</w:t>
            </w:r>
          </w:p>
        </w:tc>
        <w:tc>
          <w:tcPr>
            <w:tcW w:type="dxa" w:w="4309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[Distinguir fato e hipótese.]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R04</w:t>
            </w:r>
          </w:p>
        </w:tc>
        <w:tc>
          <w:tcPr>
            <w:tcW w:type="dxa" w:w="4649"/>
            <w:vAlign w:val="center"/>
            <w:shd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Que falha de sistema legado de controle de voo será analisada e que dependência operacional ela afeta?</w:t>
            </w:r>
          </w:p>
        </w:tc>
        <w:tc>
          <w:tcPr>
            <w:tcW w:type="dxa" w:w="4309"/>
            <w:vAlign w:val="center"/>
            <w:shd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[Definir o alcance do risco.]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R05</w:t>
            </w:r>
          </w:p>
        </w:tc>
        <w:tc>
          <w:tcPr>
            <w:tcW w:type="dxa" w:w="4649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Qual efeito teria a perda de integridade ou disponibilidade de um sistema embarcado crítico?</w:t>
            </w:r>
          </w:p>
        </w:tc>
        <w:tc>
          <w:tcPr>
            <w:tcW w:type="dxa" w:w="4309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[Explicar o impacto potencial.]</w:t>
            </w:r>
          </w:p>
        </w:tc>
      </w:tr>
    </w:tbl>
    <w:p>
      <w:pPr>
        <w:spacing w:after="20"/>
      </w:pPr>
    </w:p>
    <w:p>
      <w:pPr>
        <w:pStyle w:val="Orientação"/>
      </w:pPr>
      <w:r>
        <w:rPr>
          <w:b/>
        </w:rPr>
        <w:t xml:space="preserve">Evitar duplicação entre R03 e R05: </w:t>
      </w:r>
      <w:r>
        <w:t>R03 destaca a origem do comprometimento no suporte externo; R05 destaca o comprometimento do sistema embarcado. Eles podem se relacionar no mesmo evento. Caio deve esclarecer esse vínculo, sem contar automaticamente o mesmo prejuízo duas vezes.</w:t>
      </w:r>
    </w:p>
    <w:p>
      <w:pPr>
        <w:pStyle w:val="Orientação"/>
      </w:pPr>
      <w:r>
        <w:rPr>
          <w:b/>
        </w:rPr>
        <w:t xml:space="preserve">Ponto de alinhamento sobre R04: </w:t>
      </w:r>
      <w:r>
        <w:t>O caso especifica sistemas legados de controle de voo. O exemplo do guia também relaciona R04 à indisponibilidade de reservas. Essa ligação só deve ser adotada se o grupo explicitar uma dependência como premissa; não mudar silenciosamente o significado de R04.</w:t>
      </w:r>
    </w:p>
    <w:p>
      <w:pPr>
        <w:pStyle w:val="Campoeditável"/>
      </w:pPr>
      <w:r>
        <w:rPr>
          <w:b/>
        </w:rPr>
        <w:t xml:space="preserve">Revisão do catálogo: </w:t>
      </w:r>
      <w:r>
        <w:t>[Caio registra a versão; Higor, Sabrina e Gustavo confirmam que usam os mesmos nomes e IDs.]</w:t>
      </w:r>
    </w:p>
    <w:p>
      <w:pPr>
        <w:pStyle w:val="Ttulo1"/>
        <w:pageBreakBefore/>
      </w:pPr>
      <w:r>
        <w:t>4. Tratamento dos Riscos</w:t>
      </w:r>
    </w:p>
    <w:p>
      <w:pPr>
        <w:pStyle w:val="Orientação"/>
      </w:pPr>
      <w:r>
        <w:rPr>
          <w:b/>
        </w:rPr>
        <w:t xml:space="preserve">Quem escreve: </w:t>
      </w:r>
      <w:r>
        <w:t>Higor</w:t>
      </w:r>
    </w:p>
    <w:p>
      <w:pPr>
        <w:pStyle w:val="Orientação"/>
      </w:pPr>
      <w:r>
        <w:rPr>
          <w:b/>
        </w:rPr>
        <w:t xml:space="preserve">Objetivo da seção: </w:t>
      </w:r>
      <w:r>
        <w:t>Definir o que fazer diante dos riscos avaliados e como acompanhar as medidas.</w:t>
      </w:r>
    </w:p>
    <w:p>
      <w:pPr>
        <w:pStyle w:val="Orientação"/>
      </w:pPr>
      <w:r>
        <w:rPr>
          <w:b/>
        </w:rPr>
        <w:t xml:space="preserve">O que escrever: </w:t>
      </w:r>
      <w:r>
        <w:t>Escolha a estratégia, descreva a medida, a função responsável, a prioridade e a evidência esperada. Pode mitigar, evitar, compartilhar/transferir ou aceitar, conforme justificativa. Aceitação deve ter responsável e registro, sem afastar obrigações aplicáveis.</w:t>
      </w:r>
    </w:p>
    <w:p>
      <w:pPr>
        <w:pStyle w:val="Orientação"/>
      </w:pPr>
      <w:r>
        <w:rPr>
          <w:b/>
        </w:rPr>
        <w:t xml:space="preserve">Fato do estudo de caso: </w:t>
      </w:r>
      <w:r>
        <w:t>Os riscos envolvem reservas, passagens, fornecedores, sistemas legados e embarcados; o caso não confirma ferramentas de defesa, redundância ou backups já implantados.</w:t>
      </w:r>
    </w:p>
    <w:p>
      <w:pPr>
        <w:pStyle w:val="Orientação"/>
      </w:pPr>
      <w:r>
        <w:rPr>
          <w:b/>
        </w:rPr>
        <w:t xml:space="preserve">Referências que podem ajudar: </w:t>
      </w:r>
      <w:r>
        <w:t>Kit 2 do MGI, tratamento; Aena; GOL, exemplos de controles de terceiros.</w:t>
      </w:r>
    </w:p>
    <w:p>
      <w:pPr>
        <w:pStyle w:val="Orientação"/>
      </w:pPr>
      <w:r>
        <w:rPr>
          <w:b/>
        </w:rPr>
        <w:t xml:space="preserve">Alinhamento necessário: </w:t>
      </w:r>
      <w:r>
        <w:t>Receber de Caio as avaliações, de Arthur e Isadora as regras da PSI e de Sabrina e Gustavo a viabilidade das estratégias de continuidade.</w:t>
      </w:r>
    </w:p>
    <w:p>
      <w:pPr>
        <w:pStyle w:val="Orientação"/>
      </w:pPr>
      <w:r>
        <w:rPr>
          <w:b/>
        </w:rPr>
        <w:t xml:space="preserve">Texto inicial para adaptar: </w:t>
      </w:r>
      <w:r>
        <w:t>Os tratamentos deverão ser associados aos IDs do registro de riscos e compatíveis com as diretrizes da PSI. As medidas abaixo são propostas iniciais para análise da equipe.</w:t>
      </w:r>
    </w:p>
    <w:p>
      <w:pPr>
        <w:pStyle w:val="Campoeditável"/>
      </w:pPr>
      <w:r>
        <w:rPr>
          <w:b/>
        </w:rPr>
        <w:t xml:space="preserve">Completar pela equipe: </w:t>
      </w:r>
      <w:r>
        <w:t>[Validar as propostas e completar estratégia, responsáveis, prioridades e critérios de verificação.]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80"/>
        <w:gridCol w:w="6973"/>
        <w:gridCol w:w="1984"/>
      </w:tblGrid>
      <w:tr>
        <w:trPr>
          <w:cantSplit/>
          <w:tblHeader/>
        </w:trPr>
        <w:tc>
          <w:tcPr>
            <w:tcW w:type="dxa" w:w="680"/>
            <w:vAlign w:val="center"/>
            <w:shd w:fill="E7EDF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type="dxa" w:w="6973"/>
            <w:vAlign w:val="center"/>
            <w:shd w:fill="E7EDF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/>
                <w:sz w:val="19"/>
              </w:rPr>
              <w:t>Ponto de partida para o tratamento</w:t>
            </w:r>
          </w:p>
        </w:tc>
        <w:tc>
          <w:tcPr>
            <w:tcW w:type="dxa" w:w="1984"/>
            <w:vAlign w:val="center"/>
            <w:shd w:fill="E7EDF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/>
                <w:sz w:val="19"/>
              </w:rPr>
              <w:t>PSI relacionada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R01</w:t>
            </w:r>
          </w:p>
        </w:tc>
        <w:tc>
          <w:tcPr>
            <w:tcW w:type="dxa" w:w="697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Avaliar proteção contra DDoS, acompanhamento da disponibilidade e estratégia de continuidade.</w:t>
            </w:r>
          </w:p>
        </w:tc>
        <w:tc>
          <w:tcPr>
            <w:tcW w:type="dxa" w:w="19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4.2, 4.6 e 4.7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R02</w:t>
            </w:r>
          </w:p>
        </w:tc>
        <w:tc>
          <w:tcPr>
            <w:tcW w:type="dxa" w:w="6973"/>
            <w:vAlign w:val="center"/>
            <w:shd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Avaliar controles de acesso, verificação de operações suspeitas e registros de emissão.</w:t>
            </w:r>
          </w:p>
        </w:tc>
        <w:tc>
          <w:tcPr>
            <w:tcW w:type="dxa" w:w="1984"/>
            <w:vAlign w:val="center"/>
            <w:shd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4.1, 4.2 e 4.8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R03</w:t>
            </w:r>
          </w:p>
        </w:tc>
        <w:tc>
          <w:tcPr>
            <w:tcW w:type="dxa" w:w="697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Propor autorização de suporte, acesso limitado, autenticação adequada, registros e requisitos contratuais.</w:t>
            </w:r>
          </w:p>
        </w:tc>
        <w:tc>
          <w:tcPr>
            <w:tcW w:type="dxa" w:w="19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4.1, 4.3, 4.4 e 4.7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R04</w:t>
            </w:r>
          </w:p>
        </w:tc>
        <w:tc>
          <w:tcPr>
            <w:tcW w:type="dxa" w:w="6973"/>
            <w:vAlign w:val="center"/>
            <w:shd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Avaliar atualização ou substituição planejada e recuperação compatível com a operação.</w:t>
            </w:r>
          </w:p>
        </w:tc>
        <w:tc>
          <w:tcPr>
            <w:tcW w:type="dxa" w:w="1984"/>
            <w:vAlign w:val="center"/>
            <w:shd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4.3, 4.5 e 4.6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R05</w:t>
            </w:r>
          </w:p>
        </w:tc>
        <w:tc>
          <w:tcPr>
            <w:tcW w:type="dxa" w:w="697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Propor controle de alterações, restrição de acesso, avaliação de integridade e resposta técnica segura.</w:t>
            </w:r>
          </w:p>
        </w:tc>
        <w:tc>
          <w:tcPr>
            <w:tcW w:type="dxa" w:w="19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4.3, 4.5 e 4.7</w:t>
            </w:r>
          </w:p>
        </w:tc>
      </w:tr>
    </w:tbl>
    <w:p>
      <w:pPr>
        <w:spacing w:after="20"/>
      </w:pPr>
    </w:p>
    <w:p>
      <w:pPr>
        <w:pStyle w:val="Orientação"/>
        <w:pageBreakBefore/>
      </w:pPr>
      <w:r>
        <w:rPr>
          <w:b/>
        </w:rPr>
        <w:t xml:space="preserve">Tratamento dos Riscos — plano para completar </w:t>
      </w:r>
      <w:r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80"/>
        <w:gridCol w:w="2268"/>
        <w:gridCol w:w="2154"/>
        <w:gridCol w:w="1984"/>
        <w:gridCol w:w="2551"/>
      </w:tblGrid>
      <w:tr>
        <w:trPr>
          <w:cantSplit/>
          <w:tblHeader/>
        </w:trPr>
        <w:tc>
          <w:tcPr>
            <w:tcW w:type="dxa" w:w="680"/>
            <w:vAlign w:val="center"/>
            <w:shd w:fill="E7EDF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type="dxa" w:w="2268"/>
            <w:vAlign w:val="center"/>
            <w:shd w:fill="E7EDF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/>
                <w:sz w:val="19"/>
              </w:rPr>
              <w:t>Estratégia e prioridade</w:t>
            </w:r>
          </w:p>
        </w:tc>
        <w:tc>
          <w:tcPr>
            <w:tcW w:type="dxa" w:w="2154"/>
            <w:vAlign w:val="center"/>
            <w:shd w:fill="E7EDF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/>
                <w:sz w:val="19"/>
              </w:rPr>
              <w:t>Responsável funcional</w:t>
            </w:r>
          </w:p>
        </w:tc>
        <w:tc>
          <w:tcPr>
            <w:tcW w:type="dxa" w:w="1984"/>
            <w:vAlign w:val="center"/>
            <w:shd w:fill="E7EDF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/>
                <w:sz w:val="19"/>
              </w:rPr>
              <w:t>Prazo / critério</w:t>
            </w:r>
          </w:p>
        </w:tc>
        <w:tc>
          <w:tcPr>
            <w:tcW w:type="dxa" w:w="2551"/>
            <w:vAlign w:val="center"/>
            <w:shd w:fill="E7EDF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/>
                <w:sz w:val="19"/>
              </w:rPr>
              <w:t>Evidência de conclusão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R01</w:t>
            </w:r>
          </w:p>
        </w:tc>
        <w:tc>
          <w:tcPr>
            <w:tcW w:type="dxa" w:w="226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[definir]</w:t>
            </w:r>
          </w:p>
        </w:tc>
        <w:tc>
          <w:tcPr>
            <w:tcW w:type="dxa" w:w="215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[definir]</w:t>
            </w:r>
          </w:p>
        </w:tc>
        <w:tc>
          <w:tcPr>
            <w:tcW w:type="dxa" w:w="19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[definir]</w:t>
            </w:r>
          </w:p>
        </w:tc>
        <w:tc>
          <w:tcPr>
            <w:tcW w:type="dxa" w:w="255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[definir]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R02</w:t>
            </w:r>
          </w:p>
        </w:tc>
        <w:tc>
          <w:tcPr>
            <w:tcW w:type="dxa" w:w="2268"/>
            <w:vAlign w:val="center"/>
            <w:shd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[definir]</w:t>
            </w:r>
          </w:p>
        </w:tc>
        <w:tc>
          <w:tcPr>
            <w:tcW w:type="dxa" w:w="2154"/>
            <w:vAlign w:val="center"/>
            <w:shd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[definir]</w:t>
            </w:r>
          </w:p>
        </w:tc>
        <w:tc>
          <w:tcPr>
            <w:tcW w:type="dxa" w:w="1984"/>
            <w:vAlign w:val="center"/>
            <w:shd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[definir]</w:t>
            </w:r>
          </w:p>
        </w:tc>
        <w:tc>
          <w:tcPr>
            <w:tcW w:type="dxa" w:w="2551"/>
            <w:vAlign w:val="center"/>
            <w:shd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[definir]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R03</w:t>
            </w:r>
          </w:p>
        </w:tc>
        <w:tc>
          <w:tcPr>
            <w:tcW w:type="dxa" w:w="226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[definir]</w:t>
            </w:r>
          </w:p>
        </w:tc>
        <w:tc>
          <w:tcPr>
            <w:tcW w:type="dxa" w:w="215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[definir]</w:t>
            </w:r>
          </w:p>
        </w:tc>
        <w:tc>
          <w:tcPr>
            <w:tcW w:type="dxa" w:w="19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[definir]</w:t>
            </w:r>
          </w:p>
        </w:tc>
        <w:tc>
          <w:tcPr>
            <w:tcW w:type="dxa" w:w="255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[definir]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R04</w:t>
            </w:r>
          </w:p>
        </w:tc>
        <w:tc>
          <w:tcPr>
            <w:tcW w:type="dxa" w:w="2268"/>
            <w:vAlign w:val="center"/>
            <w:shd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[definir]</w:t>
            </w:r>
          </w:p>
        </w:tc>
        <w:tc>
          <w:tcPr>
            <w:tcW w:type="dxa" w:w="2154"/>
            <w:vAlign w:val="center"/>
            <w:shd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[definir]</w:t>
            </w:r>
          </w:p>
        </w:tc>
        <w:tc>
          <w:tcPr>
            <w:tcW w:type="dxa" w:w="1984"/>
            <w:vAlign w:val="center"/>
            <w:shd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[definir]</w:t>
            </w:r>
          </w:p>
        </w:tc>
        <w:tc>
          <w:tcPr>
            <w:tcW w:type="dxa" w:w="2551"/>
            <w:vAlign w:val="center"/>
            <w:shd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[definir]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R05</w:t>
            </w:r>
          </w:p>
        </w:tc>
        <w:tc>
          <w:tcPr>
            <w:tcW w:type="dxa" w:w="226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[definir]</w:t>
            </w:r>
          </w:p>
        </w:tc>
        <w:tc>
          <w:tcPr>
            <w:tcW w:type="dxa" w:w="215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[definir]</w:t>
            </w:r>
          </w:p>
        </w:tc>
        <w:tc>
          <w:tcPr>
            <w:tcW w:type="dxa" w:w="19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[definir]</w:t>
            </w:r>
          </w:p>
        </w:tc>
        <w:tc>
          <w:tcPr>
            <w:tcW w:type="dxa" w:w="255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[definir]</w:t>
            </w:r>
          </w:p>
        </w:tc>
      </w:tr>
    </w:tbl>
    <w:p>
      <w:pPr>
        <w:spacing w:after="20"/>
      </w:pPr>
    </w:p>
    <w:p>
      <w:pPr>
        <w:pStyle w:val="Orientação"/>
      </w:pPr>
      <w:r>
        <w:rPr>
          <w:b/>
        </w:rPr>
        <w:t xml:space="preserve">Como preencher: </w:t>
      </w:r>
      <w:r>
        <w:t>Em “evidência”, indique algo verificável, como revisão de permissões registrada ou teste de restauração concluído. O prazo é uma proposta acadêmica. O responsável é uma função da empresa, não Higor.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91"/>
        <w:gridCol w:w="8447"/>
      </w:tblGrid>
      <w:tr>
        <w:trPr>
          <w:cantSplit/>
          <w:tblHeader/>
        </w:trPr>
        <w:tc>
          <w:tcPr>
            <w:tcW w:type="dxa" w:w="1191"/>
            <w:vAlign w:val="center"/>
            <w:shd w:fill="E7EDF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/>
                <w:sz w:val="19"/>
              </w:rPr>
              <w:t>Risco</w:t>
            </w:r>
          </w:p>
        </w:tc>
        <w:tc>
          <w:tcPr>
            <w:tcW w:type="dxa" w:w="8447"/>
            <w:vAlign w:val="center"/>
            <w:shd w:fill="E7EDF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/>
                <w:sz w:val="19"/>
              </w:rPr>
              <w:t>Ligação inicial com o PCN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R01</w:t>
            </w:r>
          </w:p>
        </w:tc>
        <w:tc>
          <w:tcPr>
            <w:tcW w:type="dxa" w:w="8447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C01; C04 quando a interrupção cibernética for ampla ou prolongada.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R02</w:t>
            </w:r>
          </w:p>
        </w:tc>
        <w:tc>
          <w:tcPr>
            <w:tcW w:type="dxa" w:w="8447"/>
            <w:vAlign w:val="center"/>
            <w:shd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Avaliar com Sabrina e Gustavo se a fraude pode causar interrupção relevante. Não criar um cenário de continuidade por obrigação de preencher a tabela.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R03</w:t>
            </w:r>
          </w:p>
        </w:tc>
        <w:tc>
          <w:tcPr>
            <w:tcW w:type="dxa" w:w="8447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C03; C04 em caso de impacto amplo, conforme alcance adotado.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R04</w:t>
            </w:r>
          </w:p>
        </w:tc>
        <w:tc>
          <w:tcPr>
            <w:tcW w:type="dxa" w:w="8447"/>
            <w:vAlign w:val="center"/>
            <w:shd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Seção 4 do PCN, continuidade dos voos na indisponibilidade de gerenciamento. C01 somente se a dependência de reservas for assumida e justificada.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R05</w:t>
            </w:r>
          </w:p>
        </w:tc>
        <w:tc>
          <w:tcPr>
            <w:tcW w:type="dxa" w:w="8447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C02; C04 quando houver impacto amplo, conforme alcance adotado.</w:t>
            </w:r>
          </w:p>
        </w:tc>
      </w:tr>
    </w:tbl>
    <w:p>
      <w:pPr>
        <w:spacing w:after="20"/>
      </w:pPr>
    </w:p>
    <w:p>
      <w:pPr>
        <w:pStyle w:val="Campoeditável"/>
      </w:pPr>
      <w:r>
        <w:rPr>
          <w:b/>
        </w:rPr>
        <w:t xml:space="preserve">Premissas compartilhadas: </w:t>
      </w:r>
      <w:r>
        <w:t>[Consolidar com a PSI e o PCN as escolhas de autenticação, backup offline, infraestrutura alternativa, responsáveis e recursos. Não assumir que a proposta já funciona.]</w:t>
      </w:r>
    </w:p>
    <w:p>
      <w:pPr>
        <w:pStyle w:val="Ttulo1"/>
        <w:pageBreakBefore/>
      </w:pPr>
      <w:r>
        <w:t>5. Responsabilidades</w:t>
      </w:r>
    </w:p>
    <w:p>
      <w:pPr>
        <w:pStyle w:val="Orientação"/>
      </w:pPr>
      <w:r>
        <w:rPr>
          <w:b/>
        </w:rPr>
        <w:t xml:space="preserve">Quem escreve: </w:t>
      </w:r>
      <w:r>
        <w:t>Higor</w:t>
      </w:r>
    </w:p>
    <w:p>
      <w:pPr>
        <w:pStyle w:val="Orientação"/>
      </w:pPr>
      <w:r>
        <w:rPr>
          <w:b/>
        </w:rPr>
        <w:t xml:space="preserve">Objetivo da seção: </w:t>
      </w:r>
      <w:r>
        <w:t>Definir quem acompanha, decide e executa a gestão dos riscos.</w:t>
      </w:r>
    </w:p>
    <w:p>
      <w:pPr>
        <w:pStyle w:val="Orientação"/>
      </w:pPr>
      <w:r>
        <w:rPr>
          <w:b/>
        </w:rPr>
        <w:t xml:space="preserve">O que escrever: </w:t>
      </w:r>
      <w:r>
        <w:t>Use a mesma nomenclatura de funções da PSI. Indique o dono do risco, quem aprova o tratamento, quem executa a medida e quem informa mudanças. A distribuição abaixo é proposta organizacional a confirmar.</w:t>
      </w:r>
    </w:p>
    <w:p>
      <w:pPr>
        <w:pStyle w:val="Orientação"/>
      </w:pPr>
      <w:r>
        <w:rPr>
          <w:b/>
        </w:rPr>
        <w:t xml:space="preserve">Fato do estudo de caso: </w:t>
      </w:r>
      <w:r>
        <w:t>O caso informa TI própria, equipes operacionais e fornecedores internacionais; não detalha comitês nem cargos executivos.</w:t>
      </w:r>
    </w:p>
    <w:p>
      <w:pPr>
        <w:pStyle w:val="Orientação"/>
      </w:pPr>
      <w:r>
        <w:rPr>
          <w:b/>
        </w:rPr>
        <w:t xml:space="preserve">Referências que podem ajudar: </w:t>
      </w:r>
      <w:r>
        <w:t>Kit 2 do MGI e Aena, atribuição de responsabilidades.</w:t>
      </w:r>
    </w:p>
    <w:p>
      <w:pPr>
        <w:pStyle w:val="Orientação"/>
      </w:pPr>
      <w:r>
        <w:rPr>
          <w:b/>
        </w:rPr>
        <w:t xml:space="preserve">Alinhamento necessário: </w:t>
      </w:r>
      <w:r>
        <w:t>Arthur e Isadora consolidam as funções na PSI; Gustavo emprega as mesmas funções no acionamento do PCN.</w:t>
      </w:r>
    </w:p>
    <w:p>
      <w:pPr>
        <w:pStyle w:val="Orientação"/>
      </w:pPr>
      <w:r>
        <w:rPr>
          <w:b/>
        </w:rPr>
        <w:t xml:space="preserve">Texto inicial para adaptar: </w:t>
      </w:r>
      <w:r>
        <w:t>A gestão de cada risco deverá ter uma função responsável por seu acompanhamento e pelo encaminhamento das medidas acordadas.</w:t>
      </w:r>
    </w:p>
    <w:p>
      <w:pPr>
        <w:pStyle w:val="Campoeditável"/>
      </w:pPr>
      <w:r>
        <w:rPr>
          <w:b/>
        </w:rPr>
        <w:t xml:space="preserve">Completar pela equipe: </w:t>
      </w:r>
      <w:r>
        <w:t>[Confirmar os papéis e os limites de decisão na tabela.]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35"/>
        <w:gridCol w:w="6803"/>
      </w:tblGrid>
      <w:tr>
        <w:trPr>
          <w:cantSplit/>
          <w:tblHeader/>
        </w:trPr>
        <w:tc>
          <w:tcPr>
            <w:tcW w:type="dxa" w:w="2835"/>
            <w:vAlign w:val="center"/>
            <w:shd w:fill="E7EDF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/>
                <w:sz w:val="19"/>
              </w:rPr>
              <w:t>Função proposta</w:t>
            </w:r>
          </w:p>
        </w:tc>
        <w:tc>
          <w:tcPr>
            <w:tcW w:type="dxa" w:w="6803"/>
            <w:vAlign w:val="center"/>
            <w:shd w:fill="E7EDF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/>
                <w:sz w:val="19"/>
              </w:rPr>
              <w:t>Responsabilidade a validar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Alta Administração</w:t>
            </w:r>
          </w:p>
        </w:tc>
        <w:tc>
          <w:tcPr>
            <w:tcW w:type="dxa" w:w="680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Aprovar prioridades, recursos e decisões de aceitação conforme os limites definidos.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TI / função de segurança</w:t>
            </w:r>
          </w:p>
        </w:tc>
        <w:tc>
          <w:tcPr>
            <w:tcW w:type="dxa" w:w="6803"/>
            <w:vAlign w:val="center"/>
            <w:shd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Analisar aspectos técnicos, propor e executar controles, monitorar registros e comunicar alterações.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Gestor do processo afetado</w:t>
            </w:r>
          </w:p>
        </w:tc>
        <w:tc>
          <w:tcPr>
            <w:tcW w:type="dxa" w:w="680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Validar consequências, necessidades do negócio e acompanhamento do risco.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Fornecedores e terceiros</w:t>
            </w:r>
          </w:p>
        </w:tc>
        <w:tc>
          <w:tcPr>
            <w:tcW w:type="dxa" w:w="6803"/>
            <w:vAlign w:val="center"/>
            <w:shd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Cumprir requisitos contratuais e apoiar o tratamento dos riscos relacionados ao serviço.</w:t>
            </w:r>
          </w:p>
        </w:tc>
      </w:tr>
    </w:tbl>
    <w:p>
      <w:pPr>
        <w:spacing w:after="20"/>
      </w:pPr>
    </w:p>
    <w:p>
      <w:pPr>
        <w:pStyle w:val="Ttulo1"/>
        <w:pageBreakBefore/>
      </w:pPr>
      <w:r>
        <w:t>6. Monitoramento e Revisão</w:t>
      </w:r>
    </w:p>
    <w:p>
      <w:pPr>
        <w:pStyle w:val="Orientação"/>
      </w:pPr>
      <w:r>
        <w:rPr>
          <w:b/>
        </w:rPr>
        <w:t xml:space="preserve">Quem escreve: </w:t>
      </w:r>
      <w:r>
        <w:t>Higor</w:t>
      </w:r>
    </w:p>
    <w:p>
      <w:pPr>
        <w:pStyle w:val="Orientação"/>
      </w:pPr>
      <w:r>
        <w:rPr>
          <w:b/>
        </w:rPr>
        <w:t xml:space="preserve">Objetivo da seção: </w:t>
      </w:r>
      <w:r>
        <w:t>Manter avaliações e tratamentos úteis após a primeira versão.</w:t>
      </w:r>
    </w:p>
    <w:p>
      <w:pPr>
        <w:pStyle w:val="Orientação"/>
      </w:pPr>
      <w:r>
        <w:rPr>
          <w:b/>
        </w:rPr>
        <w:t xml:space="preserve">O que escrever: </w:t>
      </w:r>
      <w:r>
        <w:t>Defina periodicidade, gatilhos extraordinários, status das ações e evidências. Preveja atualização por incidentes, mudanças nos sistemas, fornecedores ou resultados de testes. Evite indicadores que exijam dados não disponíveis.</w:t>
      </w:r>
    </w:p>
    <w:p>
      <w:pPr>
        <w:pStyle w:val="Orientação"/>
      </w:pPr>
      <w:r>
        <w:rPr>
          <w:b/>
        </w:rPr>
        <w:t xml:space="preserve">Fato do estudo de caso: </w:t>
      </w:r>
      <w:r>
        <w:t>O caso apresenta exposição a ataques e suporte internacional, mas não fornece indicadores nem rotina de monitoramento.</w:t>
      </w:r>
    </w:p>
    <w:p>
      <w:pPr>
        <w:pStyle w:val="Orientação"/>
      </w:pPr>
      <w:r>
        <w:rPr>
          <w:b/>
        </w:rPr>
        <w:t xml:space="preserve">Referências que podem ajudar: </w:t>
      </w:r>
      <w:r>
        <w:t>Kit 2 do MGI e Aena, acompanhamento e atualização.</w:t>
      </w:r>
    </w:p>
    <w:p>
      <w:pPr>
        <w:pStyle w:val="Orientação"/>
      </w:pPr>
      <w:r>
        <w:rPr>
          <w:b/>
        </w:rPr>
        <w:t xml:space="preserve">Alinhamento necessário: </w:t>
      </w:r>
      <w:r>
        <w:t>Resultados dos testes do PCN podem levar Caio a reavaliar riscos e Arthur/Isadora a ajustar diretrizes.</w:t>
      </w:r>
    </w:p>
    <w:p>
      <w:pPr>
        <w:pStyle w:val="Orientação"/>
      </w:pPr>
      <w:r>
        <w:rPr>
          <w:b/>
        </w:rPr>
        <w:t xml:space="preserve">Texto inicial para adaptar: </w:t>
      </w:r>
      <w:r>
        <w:t>Os riscos e seus tratamentos deverão ser revistos em [periodicidade] e sempre que ocorrerem mudanças relevantes ou novos incidentes.</w:t>
      </w:r>
    </w:p>
    <w:p>
      <w:pPr>
        <w:pStyle w:val="Campoeditável"/>
      </w:pPr>
      <w:r>
        <w:rPr>
          <w:b/>
        </w:rPr>
        <w:t xml:space="preserve">Completar pela equipe: </w:t>
      </w:r>
      <w:r>
        <w:t>[Definir frequência, responsável pela atualização e comunicação às outras duplas.]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80"/>
        <w:gridCol w:w="2891"/>
        <w:gridCol w:w="4082"/>
        <w:gridCol w:w="1984"/>
      </w:tblGrid>
      <w:tr>
        <w:trPr>
          <w:cantSplit/>
          <w:tblHeader/>
        </w:trPr>
        <w:tc>
          <w:tcPr>
            <w:tcW w:type="dxa" w:w="680"/>
            <w:vAlign w:val="center"/>
            <w:shd w:fill="E7EDF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type="dxa" w:w="2891"/>
            <w:vAlign w:val="center"/>
            <w:shd w:fill="E7EDF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/>
                <w:sz w:val="19"/>
              </w:rPr>
              <w:t>Situação da medida</w:t>
            </w:r>
          </w:p>
        </w:tc>
        <w:tc>
          <w:tcPr>
            <w:tcW w:type="dxa" w:w="4082"/>
            <w:vAlign w:val="center"/>
            <w:shd w:fill="E7EDF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/>
                <w:sz w:val="19"/>
              </w:rPr>
              <w:t>Evidência / pendência</w:t>
            </w:r>
          </w:p>
        </w:tc>
        <w:tc>
          <w:tcPr>
            <w:tcW w:type="dxa" w:w="1984"/>
            <w:vAlign w:val="center"/>
            <w:shd w:fill="E7EDF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/>
                <w:sz w:val="19"/>
              </w:rPr>
              <w:t>Próxima revisão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R01</w:t>
            </w:r>
          </w:p>
        </w:tc>
        <w:tc>
          <w:tcPr>
            <w:tcW w:type="dxa" w:w="289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[planejada / em execução / concluída]</w:t>
            </w:r>
          </w:p>
        </w:tc>
        <w:tc>
          <w:tcPr>
            <w:tcW w:type="dxa" w:w="408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[registrar]</w:t>
            </w:r>
          </w:p>
        </w:tc>
        <w:tc>
          <w:tcPr>
            <w:tcW w:type="dxa" w:w="19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[definir]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R02</w:t>
            </w:r>
          </w:p>
        </w:tc>
        <w:tc>
          <w:tcPr>
            <w:tcW w:type="dxa" w:w="2891"/>
            <w:vAlign w:val="center"/>
            <w:shd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[planejada / em execução / concluída]</w:t>
            </w:r>
          </w:p>
        </w:tc>
        <w:tc>
          <w:tcPr>
            <w:tcW w:type="dxa" w:w="4082"/>
            <w:vAlign w:val="center"/>
            <w:shd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[registrar]</w:t>
            </w:r>
          </w:p>
        </w:tc>
        <w:tc>
          <w:tcPr>
            <w:tcW w:type="dxa" w:w="1984"/>
            <w:vAlign w:val="center"/>
            <w:shd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[definir]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R03</w:t>
            </w:r>
          </w:p>
        </w:tc>
        <w:tc>
          <w:tcPr>
            <w:tcW w:type="dxa" w:w="289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[planejada / em execução / concluída]</w:t>
            </w:r>
          </w:p>
        </w:tc>
        <w:tc>
          <w:tcPr>
            <w:tcW w:type="dxa" w:w="408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[registrar]</w:t>
            </w:r>
          </w:p>
        </w:tc>
        <w:tc>
          <w:tcPr>
            <w:tcW w:type="dxa" w:w="19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[definir]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R04</w:t>
            </w:r>
          </w:p>
        </w:tc>
        <w:tc>
          <w:tcPr>
            <w:tcW w:type="dxa" w:w="2891"/>
            <w:vAlign w:val="center"/>
            <w:shd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[planejada / em execução / concluída]</w:t>
            </w:r>
          </w:p>
        </w:tc>
        <w:tc>
          <w:tcPr>
            <w:tcW w:type="dxa" w:w="4082"/>
            <w:vAlign w:val="center"/>
            <w:shd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[registrar]</w:t>
            </w:r>
          </w:p>
        </w:tc>
        <w:tc>
          <w:tcPr>
            <w:tcW w:type="dxa" w:w="1984"/>
            <w:vAlign w:val="center"/>
            <w:shd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[definir]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R05</w:t>
            </w:r>
          </w:p>
        </w:tc>
        <w:tc>
          <w:tcPr>
            <w:tcW w:type="dxa" w:w="289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[planejada / em execução / concluída]</w:t>
            </w:r>
          </w:p>
        </w:tc>
        <w:tc>
          <w:tcPr>
            <w:tcW w:type="dxa" w:w="408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[registrar]</w:t>
            </w:r>
          </w:p>
        </w:tc>
        <w:tc>
          <w:tcPr>
            <w:tcW w:type="dxa" w:w="19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9"/>
              </w:rPr>
              <w:t>[definir]</w:t>
            </w:r>
          </w:p>
        </w:tc>
      </w:tr>
    </w:tbl>
    <w:p>
      <w:pPr>
        <w:spacing w:after="20"/>
      </w:pPr>
    </w:p>
    <w:p>
      <w:pPr>
        <w:pStyle w:val="Orientação"/>
      </w:pPr>
      <w:r>
        <w:rPr>
          <w:b/>
        </w:rPr>
        <w:t xml:space="preserve">Perguntas para revisão: </w:t>
      </w:r>
      <w:r>
        <w:t>A medida foi executada? Há evidência de que funciona? O risco mudou? Houve incidente ou teste que revelou uma falha? A PSI e o PCN precisam ser atualizados?</w:t>
      </w:r>
    </w:p>
    <w:p>
      <w:pPr>
        <w:pStyle w:val="Campoeditável"/>
      </w:pPr>
      <w:r>
        <w:rPr>
          <w:b/>
        </w:rPr>
        <w:t xml:space="preserve">Exemplo de registro: </w:t>
      </w:r>
      <w:r>
        <w:t>[Rxx | medida avaliada | evidência encontrada | decisão tomada | função responsável | data]. Se a execução for apenas hipotética, identificar como simulação acadêmica.</w:t>
      </w:r>
    </w:p>
    <w:p>
      <w:pPr>
        <w:pStyle w:val="Orientação"/>
        <w:pageBreakBefore/>
      </w:pPr>
      <w:r>
        <w:rPr>
          <w:b/>
        </w:rPr>
        <w:t xml:space="preserve">Referências de apoio à elaboração </w:t>
      </w:r>
      <w:r/>
    </w:p>
    <w:p>
      <w:pPr>
        <w:pStyle w:val="Orientação"/>
      </w:pPr>
      <w:r>
        <w:rPr>
          <w:b/>
        </w:rPr>
        <w:t xml:space="preserve">Base principal: </w:t>
      </w:r>
      <w:r>
        <w:t>08 - AeroLog Transportes Aéreos.pdf e guia_elaboracao_PSI_PGR_PCN_AeroLog.md. O TAP enviado foi utilizado apenas para a identificação acadêmica e o logotipo.</w:t>
      </w:r>
    </w:p>
    <w:p>
      <w:pPr>
        <w:pStyle w:val="Orientação"/>
      </w:pPr>
      <w:r>
        <w:rPr>
          <w:b/>
        </w:rPr>
        <w:t xml:space="preserve">Consulta das fontes externas: </w:t>
      </w:r>
      <w:r>
        <w:t>Documentos consultados na pesquisa de 07 e 08/10/2026. A equipe deve conservar as fontes efetivamente usadas na versão final.</w:t>
      </w:r>
    </w:p>
    <w:p>
      <w:pPr>
        <w:pStyle w:val="Fonte"/>
      </w:pPr>
      <w:hyperlink r:id="rId18">
        <w:r>
          <w:rPr>
            <w:color w:val="234E70"/>
            <w:u w:val="single"/>
          </w:rPr>
          <w:t>Kit 2 — Gestão de Riscos de Segurança da Informação</w:t>
        </w:r>
      </w:hyperlink>
    </w:p>
    <w:p>
      <w:pPr>
        <w:pStyle w:val="Fonte"/>
      </w:pPr>
      <w:r>
        <w:t>SEST / Ministério do Planejamento / UnB, 2018, disponível no portal do MGI. Apoio para método, registro e tratamento de riscos.</w:t>
      </w:r>
    </w:p>
    <w:p>
      <w:pPr>
        <w:pStyle w:val="Fonte"/>
      </w:pPr>
      <w:hyperlink r:id="rId19">
        <w:r>
          <w:rPr>
            <w:color w:val="234E70"/>
            <w:u w:val="single"/>
          </w:rPr>
          <w:t>Aena — Política de control y gestión de riesgos</w:t>
        </w:r>
      </w:hyperlink>
    </w:p>
    <w:p>
      <w:pPr>
        <w:pStyle w:val="Fonte"/>
      </w:pPr>
      <w:r>
        <w:t>Aprovada em 26/05/2026. Apoio para o ciclo de avaliação, tratamento, responsabilidades e acompanhamento, simplificado para a atividade.</w:t>
      </w:r>
    </w:p>
    <w:p>
      <w:pPr>
        <w:pStyle w:val="Fonte"/>
      </w:pPr>
      <w:hyperlink r:id="rId20">
        <w:r>
          <w:rPr>
            <w:color w:val="234E70"/>
            <w:u w:val="single"/>
          </w:rPr>
          <w:t>GOL — Política de Segurança da Informação para Terceiros</w:t>
        </w:r>
      </w:hyperlink>
    </w:p>
    <w:p>
      <w:pPr>
        <w:pStyle w:val="Fonte"/>
      </w:pPr>
      <w:r>
        <w:t>Revisão 01, 12/06/2025. Apoio para fornecedores, acesso, registros, backup e continuidade. Não copiar prazos contratuais para a AeroLog.</w:t>
      </w:r>
    </w:p>
    <w:p>
      <w:pPr>
        <w:pStyle w:val="Orientação"/>
      </w:pPr>
      <w:r>
        <w:rPr>
          <w:b/>
        </w:rPr>
        <w:t xml:space="preserve">Conferência conjunta: </w:t>
      </w:r>
      <w:r>
        <w:t>Verificar nomes de sistemas, funções organizacionais, riscos e cenários. Toda alteração de ID deve ser comunicada por Caio a Arthur, Isadora, Higor, Sabrina e Gustavo.</w:t>
      </w:r>
    </w:p>
    <w:p>
      <w:pPr>
        <w:pStyle w:val="Campoeditável"/>
      </w:pPr>
      <w:r>
        <w:rPr>
          <w:b/>
        </w:rPr>
        <w:t xml:space="preserve">Registro de premissas: </w:t>
      </w:r>
      <w:r>
        <w:t>[Listar as escolhas aprovadas, os documentos afetados e a justificativa. Não registrar medidas propostas como controles existentes.]</w:t>
      </w:r>
    </w:p>
    <w:sectPr w:rsidR="006D38E7">
      <w:footerReference w:type="default" r:id="rId16"/>
      <w:headerReference w:type="default" r:id="rId17"/>
      <w:pgSz w:w="11906" w:h="16838"/>
      <w:pgMar w:top="1020" w:right="1134" w:bottom="1020" w:left="1134" w:header="397" w:footer="45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4A0316" w14:textId="77777777" w:rsidR="00E21A43" w:rsidRDefault="00E21A43">
      <w:r>
        <w:separator/>
      </w:r>
    </w:p>
  </w:endnote>
  <w:endnote w:type="continuationSeparator" w:id="0">
    <w:p w14:paraId="6BB6563D" w14:textId="77777777" w:rsidR="00E21A43" w:rsidRDefault="00E21A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MT">
    <w:altName w:val="Arial MT"/>
    <w:charset w:val="01"/>
    <w:family w:val="swiss"/>
    <w:pitch w:val="variable"/>
  </w:font>
  <w:font w:name="Cambria">
    <w:panose1 w:val="02040503050406030204"/>
    <w:charset w:val="00"/>
    <w:family w:val="roman"/>
    <w:notTrueType/>
    <w:pitch w:val="default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AeroLog | PGR | Modelo base | </w:t>
    </w:r>
    <w:fldSimple w:instr="PAGE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6D61F4" w14:textId="77777777" w:rsidR="00E21A43" w:rsidRDefault="00E21A43">
      <w:r>
        <w:separator/>
      </w:r>
    </w:p>
  </w:footnote>
  <w:footnote w:type="continuationSeparator" w:id="0">
    <w:p w14:paraId="0633638B" w14:textId="77777777" w:rsidR="00E21A43" w:rsidRDefault="00E21A43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F58F6"/>
    <w:multiLevelType w:val="hybridMultilevel"/>
    <w:tmpl w:val="FFFFFFFF"/>
    <w:lvl w:ilvl="0" w:tplc="59D84E7C">
      <w:numFmt w:val="bullet"/>
      <w:lvlText w:val=""/>
      <w:lvlJc w:val="left"/>
      <w:pPr>
        <w:ind w:left="83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568C93CA">
      <w:numFmt w:val="bullet"/>
      <w:lvlText w:val="•"/>
      <w:lvlJc w:val="left"/>
      <w:pPr>
        <w:ind w:left="1216" w:hanging="361"/>
      </w:pPr>
      <w:rPr>
        <w:rFonts w:hint="default"/>
        <w:lang w:val="pt-PT" w:eastAsia="en-US" w:bidi="ar-SA"/>
      </w:rPr>
    </w:lvl>
    <w:lvl w:ilvl="2" w:tplc="2DC440F4">
      <w:numFmt w:val="bullet"/>
      <w:lvlText w:val="•"/>
      <w:lvlJc w:val="left"/>
      <w:pPr>
        <w:ind w:left="1592" w:hanging="361"/>
      </w:pPr>
      <w:rPr>
        <w:rFonts w:hint="default"/>
        <w:lang w:val="pt-PT" w:eastAsia="en-US" w:bidi="ar-SA"/>
      </w:rPr>
    </w:lvl>
    <w:lvl w:ilvl="3" w:tplc="61DC920A">
      <w:numFmt w:val="bullet"/>
      <w:lvlText w:val="•"/>
      <w:lvlJc w:val="left"/>
      <w:pPr>
        <w:ind w:left="1968" w:hanging="361"/>
      </w:pPr>
      <w:rPr>
        <w:rFonts w:hint="default"/>
        <w:lang w:val="pt-PT" w:eastAsia="en-US" w:bidi="ar-SA"/>
      </w:rPr>
    </w:lvl>
    <w:lvl w:ilvl="4" w:tplc="2584A4F4">
      <w:numFmt w:val="bullet"/>
      <w:lvlText w:val="•"/>
      <w:lvlJc w:val="left"/>
      <w:pPr>
        <w:ind w:left="2344" w:hanging="361"/>
      </w:pPr>
      <w:rPr>
        <w:rFonts w:hint="default"/>
        <w:lang w:val="pt-PT" w:eastAsia="en-US" w:bidi="ar-SA"/>
      </w:rPr>
    </w:lvl>
    <w:lvl w:ilvl="5" w:tplc="94EA7778">
      <w:numFmt w:val="bullet"/>
      <w:lvlText w:val="•"/>
      <w:lvlJc w:val="left"/>
      <w:pPr>
        <w:ind w:left="2721" w:hanging="361"/>
      </w:pPr>
      <w:rPr>
        <w:rFonts w:hint="default"/>
        <w:lang w:val="pt-PT" w:eastAsia="en-US" w:bidi="ar-SA"/>
      </w:rPr>
    </w:lvl>
    <w:lvl w:ilvl="6" w:tplc="A93AA7EE">
      <w:numFmt w:val="bullet"/>
      <w:lvlText w:val="•"/>
      <w:lvlJc w:val="left"/>
      <w:pPr>
        <w:ind w:left="3097" w:hanging="361"/>
      </w:pPr>
      <w:rPr>
        <w:rFonts w:hint="default"/>
        <w:lang w:val="pt-PT" w:eastAsia="en-US" w:bidi="ar-SA"/>
      </w:rPr>
    </w:lvl>
    <w:lvl w:ilvl="7" w:tplc="BE58B188">
      <w:numFmt w:val="bullet"/>
      <w:lvlText w:val="•"/>
      <w:lvlJc w:val="left"/>
      <w:pPr>
        <w:ind w:left="3473" w:hanging="361"/>
      </w:pPr>
      <w:rPr>
        <w:rFonts w:hint="default"/>
        <w:lang w:val="pt-PT" w:eastAsia="en-US" w:bidi="ar-SA"/>
      </w:rPr>
    </w:lvl>
    <w:lvl w:ilvl="8" w:tplc="2DD25ECA">
      <w:numFmt w:val="bullet"/>
      <w:lvlText w:val="•"/>
      <w:lvlJc w:val="left"/>
      <w:pPr>
        <w:ind w:left="3849" w:hanging="361"/>
      </w:pPr>
      <w:rPr>
        <w:rFonts w:hint="default"/>
        <w:lang w:val="pt-PT" w:eastAsia="en-US" w:bidi="ar-SA"/>
      </w:rPr>
    </w:lvl>
  </w:abstractNum>
  <w:abstractNum w:abstractNumId="1" w15:restartNumberingAfterBreak="0">
    <w:nsid w:val="2D3D35C4"/>
    <w:multiLevelType w:val="multilevel"/>
    <w:tmpl w:val="FFFFFFFF"/>
    <w:lvl w:ilvl="0">
      <w:start w:val="1"/>
      <w:numFmt w:val="decimal"/>
      <w:lvlText w:val="%1"/>
      <w:lvlJc w:val="left"/>
      <w:pPr>
        <w:ind w:left="373" w:hanging="230"/>
        <w:jc w:val="left"/>
      </w:pPr>
      <w:rPr>
        <w:rFonts w:ascii="Calibri" w:eastAsia="Calibri" w:hAnsi="Calibri" w:cs="Calibri" w:hint="default"/>
        <w:b/>
        <w:bCs/>
        <w:i w:val="0"/>
        <w:iCs w:val="0"/>
        <w:color w:val="808080"/>
        <w:spacing w:val="0"/>
        <w:w w:val="100"/>
        <w:sz w:val="32"/>
        <w:szCs w:val="32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498" w:hanging="355"/>
        <w:jc w:val="left"/>
      </w:pPr>
      <w:rPr>
        <w:rFonts w:hint="default"/>
        <w:spacing w:val="-2"/>
        <w:w w:val="100"/>
        <w:lang w:val="pt-PT" w:eastAsia="en-US" w:bidi="ar-SA"/>
      </w:rPr>
    </w:lvl>
    <w:lvl w:ilvl="2">
      <w:numFmt w:val="bullet"/>
      <w:lvlText w:val="•"/>
      <w:lvlJc w:val="left"/>
      <w:pPr>
        <w:ind w:left="1483" w:hanging="355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2467" w:hanging="355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451" w:hanging="355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435" w:hanging="355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418" w:hanging="355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402" w:hanging="355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386" w:hanging="355"/>
      </w:pPr>
      <w:rPr>
        <w:rFonts w:hint="default"/>
        <w:lang w:val="pt-PT" w:eastAsia="en-US" w:bidi="ar-SA"/>
      </w:rPr>
    </w:lvl>
  </w:abstractNum>
  <w:abstractNum w:abstractNumId="2" w15:restartNumberingAfterBreak="0">
    <w:nsid w:val="37FA33A3"/>
    <w:multiLevelType w:val="hybridMultilevel"/>
    <w:tmpl w:val="FFFFFFFF"/>
    <w:lvl w:ilvl="0" w:tplc="783C1DC8">
      <w:numFmt w:val="bullet"/>
      <w:lvlText w:val=""/>
      <w:lvlJc w:val="left"/>
      <w:pPr>
        <w:ind w:left="865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F2A40A78">
      <w:numFmt w:val="bullet"/>
      <w:lvlText w:val="•"/>
      <w:lvlJc w:val="left"/>
      <w:pPr>
        <w:ind w:left="1233" w:hanging="361"/>
      </w:pPr>
      <w:rPr>
        <w:rFonts w:hint="default"/>
        <w:lang w:val="pt-PT" w:eastAsia="en-US" w:bidi="ar-SA"/>
      </w:rPr>
    </w:lvl>
    <w:lvl w:ilvl="2" w:tplc="F6E2E478">
      <w:numFmt w:val="bullet"/>
      <w:lvlText w:val="•"/>
      <w:lvlJc w:val="left"/>
      <w:pPr>
        <w:ind w:left="1607" w:hanging="361"/>
      </w:pPr>
      <w:rPr>
        <w:rFonts w:hint="default"/>
        <w:lang w:val="pt-PT" w:eastAsia="en-US" w:bidi="ar-SA"/>
      </w:rPr>
    </w:lvl>
    <w:lvl w:ilvl="3" w:tplc="71D2ED18">
      <w:numFmt w:val="bullet"/>
      <w:lvlText w:val="•"/>
      <w:lvlJc w:val="left"/>
      <w:pPr>
        <w:ind w:left="1981" w:hanging="361"/>
      </w:pPr>
      <w:rPr>
        <w:rFonts w:hint="default"/>
        <w:lang w:val="pt-PT" w:eastAsia="en-US" w:bidi="ar-SA"/>
      </w:rPr>
    </w:lvl>
    <w:lvl w:ilvl="4" w:tplc="6BC04366">
      <w:numFmt w:val="bullet"/>
      <w:lvlText w:val="•"/>
      <w:lvlJc w:val="left"/>
      <w:pPr>
        <w:ind w:left="2354" w:hanging="361"/>
      </w:pPr>
      <w:rPr>
        <w:rFonts w:hint="default"/>
        <w:lang w:val="pt-PT" w:eastAsia="en-US" w:bidi="ar-SA"/>
      </w:rPr>
    </w:lvl>
    <w:lvl w:ilvl="5" w:tplc="FCBEBF7E">
      <w:numFmt w:val="bullet"/>
      <w:lvlText w:val="•"/>
      <w:lvlJc w:val="left"/>
      <w:pPr>
        <w:ind w:left="2728" w:hanging="361"/>
      </w:pPr>
      <w:rPr>
        <w:rFonts w:hint="default"/>
        <w:lang w:val="pt-PT" w:eastAsia="en-US" w:bidi="ar-SA"/>
      </w:rPr>
    </w:lvl>
    <w:lvl w:ilvl="6" w:tplc="B9B87D58">
      <w:numFmt w:val="bullet"/>
      <w:lvlText w:val="•"/>
      <w:lvlJc w:val="left"/>
      <w:pPr>
        <w:ind w:left="3102" w:hanging="361"/>
      </w:pPr>
      <w:rPr>
        <w:rFonts w:hint="default"/>
        <w:lang w:val="pt-PT" w:eastAsia="en-US" w:bidi="ar-SA"/>
      </w:rPr>
    </w:lvl>
    <w:lvl w:ilvl="7" w:tplc="35EAB792">
      <w:numFmt w:val="bullet"/>
      <w:lvlText w:val="•"/>
      <w:lvlJc w:val="left"/>
      <w:pPr>
        <w:ind w:left="3475" w:hanging="361"/>
      </w:pPr>
      <w:rPr>
        <w:rFonts w:hint="default"/>
        <w:lang w:val="pt-PT" w:eastAsia="en-US" w:bidi="ar-SA"/>
      </w:rPr>
    </w:lvl>
    <w:lvl w:ilvl="8" w:tplc="CEF41F06">
      <w:numFmt w:val="bullet"/>
      <w:lvlText w:val="•"/>
      <w:lvlJc w:val="left"/>
      <w:pPr>
        <w:ind w:left="3849" w:hanging="361"/>
      </w:pPr>
      <w:rPr>
        <w:rFonts w:hint="default"/>
        <w:lang w:val="pt-PT" w:eastAsia="en-US" w:bidi="ar-SA"/>
      </w:rPr>
    </w:lvl>
  </w:abstractNum>
  <w:abstractNum w:abstractNumId="3" w15:restartNumberingAfterBreak="0">
    <w:nsid w:val="58690252"/>
    <w:multiLevelType w:val="hybridMultilevel"/>
    <w:tmpl w:val="FFFFFFFF"/>
    <w:lvl w:ilvl="0" w:tplc="722A19CE">
      <w:numFmt w:val="bullet"/>
      <w:lvlText w:val=""/>
      <w:lvlJc w:val="left"/>
      <w:pPr>
        <w:ind w:left="83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73503476">
      <w:numFmt w:val="bullet"/>
      <w:lvlText w:val="•"/>
      <w:lvlJc w:val="left"/>
      <w:pPr>
        <w:ind w:left="1216" w:hanging="361"/>
      </w:pPr>
      <w:rPr>
        <w:rFonts w:hint="default"/>
        <w:lang w:val="pt-PT" w:eastAsia="en-US" w:bidi="ar-SA"/>
      </w:rPr>
    </w:lvl>
    <w:lvl w:ilvl="2" w:tplc="02C47A50">
      <w:numFmt w:val="bullet"/>
      <w:lvlText w:val="•"/>
      <w:lvlJc w:val="left"/>
      <w:pPr>
        <w:ind w:left="1592" w:hanging="361"/>
      </w:pPr>
      <w:rPr>
        <w:rFonts w:hint="default"/>
        <w:lang w:val="pt-PT" w:eastAsia="en-US" w:bidi="ar-SA"/>
      </w:rPr>
    </w:lvl>
    <w:lvl w:ilvl="3" w:tplc="AA228782">
      <w:numFmt w:val="bullet"/>
      <w:lvlText w:val="•"/>
      <w:lvlJc w:val="left"/>
      <w:pPr>
        <w:ind w:left="1968" w:hanging="361"/>
      </w:pPr>
      <w:rPr>
        <w:rFonts w:hint="default"/>
        <w:lang w:val="pt-PT" w:eastAsia="en-US" w:bidi="ar-SA"/>
      </w:rPr>
    </w:lvl>
    <w:lvl w:ilvl="4" w:tplc="0E621496">
      <w:numFmt w:val="bullet"/>
      <w:lvlText w:val="•"/>
      <w:lvlJc w:val="left"/>
      <w:pPr>
        <w:ind w:left="2344" w:hanging="361"/>
      </w:pPr>
      <w:rPr>
        <w:rFonts w:hint="default"/>
        <w:lang w:val="pt-PT" w:eastAsia="en-US" w:bidi="ar-SA"/>
      </w:rPr>
    </w:lvl>
    <w:lvl w:ilvl="5" w:tplc="1EBA5196">
      <w:numFmt w:val="bullet"/>
      <w:lvlText w:val="•"/>
      <w:lvlJc w:val="left"/>
      <w:pPr>
        <w:ind w:left="2721" w:hanging="361"/>
      </w:pPr>
      <w:rPr>
        <w:rFonts w:hint="default"/>
        <w:lang w:val="pt-PT" w:eastAsia="en-US" w:bidi="ar-SA"/>
      </w:rPr>
    </w:lvl>
    <w:lvl w:ilvl="6" w:tplc="58147C20">
      <w:numFmt w:val="bullet"/>
      <w:lvlText w:val="•"/>
      <w:lvlJc w:val="left"/>
      <w:pPr>
        <w:ind w:left="3097" w:hanging="361"/>
      </w:pPr>
      <w:rPr>
        <w:rFonts w:hint="default"/>
        <w:lang w:val="pt-PT" w:eastAsia="en-US" w:bidi="ar-SA"/>
      </w:rPr>
    </w:lvl>
    <w:lvl w:ilvl="7" w:tplc="671C2726">
      <w:numFmt w:val="bullet"/>
      <w:lvlText w:val="•"/>
      <w:lvlJc w:val="left"/>
      <w:pPr>
        <w:ind w:left="3473" w:hanging="361"/>
      </w:pPr>
      <w:rPr>
        <w:rFonts w:hint="default"/>
        <w:lang w:val="pt-PT" w:eastAsia="en-US" w:bidi="ar-SA"/>
      </w:rPr>
    </w:lvl>
    <w:lvl w:ilvl="8" w:tplc="3864AF8C">
      <w:numFmt w:val="bullet"/>
      <w:lvlText w:val="•"/>
      <w:lvlJc w:val="left"/>
      <w:pPr>
        <w:ind w:left="3849" w:hanging="361"/>
      </w:pPr>
      <w:rPr>
        <w:rFonts w:hint="default"/>
        <w:lang w:val="pt-PT" w:eastAsia="en-US" w:bidi="ar-SA"/>
      </w:rPr>
    </w:lvl>
  </w:abstractNum>
  <w:num w:numId="1" w16cid:durableId="1693070683">
    <w:abstractNumId w:val="0"/>
  </w:num>
  <w:num w:numId="2" w16cid:durableId="156000059">
    <w:abstractNumId w:val="2"/>
  </w:num>
  <w:num w:numId="3" w16cid:durableId="719477617">
    <w:abstractNumId w:val="3"/>
  </w:num>
  <w:num w:numId="4" w16cid:durableId="10542325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9"/>
  <w:revisionView w:inkAnnotations="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D38E7"/>
    <w:rsid w:val="006D38E7"/>
    <w:rsid w:val="00D96BD6"/>
    <w:rsid w:val="00E21A43"/>
    <w:rsid w:val="00E46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2D38B47"/>
  <w15:docId w15:val="{47637ED0-F184-5148-93DC-1B176A857677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keepNext w:val="0"/>
      <w:widowControl/>
      <w:spacing w:before="0" w:after="100" w:line="252" w:lineRule="auto"/>
      <w:ind w:left="0" w:right="0" w:firstLine="0"/>
    </w:pPr>
    <w:rPr>
      <w:rFonts w:ascii="Calibri" w:eastAsia="Calibri" w:hAnsi="Calibri" w:cs="Calibri"/>
      <w:b w:val="0"/>
      <w:i w:val="0"/>
      <w:color w:val="000000"/>
      <w:sz w:val="21"/>
      <w:lang w:val="pt-PT"/>
      <w:lang w:val="pt-BR"/>
    </w:rPr>
  </w:style>
  <w:style w:type="paragraph" w:styleId="Ttulo1">
    <w:name w:val="heading 1"/>
    <w:basedOn w:val="Normal"/>
    <w:uiPriority w:val="9"/>
    <w:qFormat/>
    <w:pPr>
      <w:keepNext/>
      <w:widowControl/>
      <w:spacing w:before="200" w:after="140" w:line="252" w:lineRule="auto"/>
      <w:ind w:left="0" w:right="0" w:firstLine="0"/>
      <w:outlineLvl w:val="0"/>
    </w:pPr>
    <w:rPr>
      <w:rFonts w:ascii="Calibri" w:hAnsi="Calibri"/>
      <w:b/>
      <w:bCs/>
      <w:i w:val="0"/>
      <w:color w:val="000000"/>
      <w:sz w:val="30"/>
      <w:szCs w:val="32"/>
      <w:lang w:val="pt-BR"/>
    </w:rPr>
  </w:style>
  <w:style w:type="paragraph" w:styleId="Ttulo2">
    <w:name w:val="heading 2"/>
    <w:basedOn w:val="Normal"/>
    <w:uiPriority w:val="9"/>
    <w:unhideWhenUsed/>
    <w:qFormat/>
    <w:pPr>
      <w:keepNext/>
      <w:widowControl/>
      <w:spacing w:before="200" w:after="140" w:line="252" w:lineRule="auto"/>
      <w:ind w:left="0" w:right="0" w:firstLine="0"/>
      <w:outlineLvl w:val="1"/>
    </w:pPr>
    <w:rPr>
      <w:rFonts w:ascii="Calibri" w:hAnsi="Calibri"/>
      <w:b/>
      <w:bCs/>
      <w:i w:val="0"/>
      <w:color w:val="000000"/>
      <w:sz w:val="24"/>
      <w:szCs w:val="24"/>
      <w:lang w:val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ind w:left="104"/>
    </w:pPr>
    <w:rPr>
      <w:sz w:val="24"/>
      <w:szCs w:val="24"/>
    </w:rPr>
  </w:style>
  <w:style w:type="paragraph" w:styleId="PargrafodaLista">
    <w:name w:val="List Paragraph"/>
    <w:basedOn w:val="Normal"/>
    <w:uiPriority w:val="1"/>
    <w:qFormat/>
    <w:pPr>
      <w:ind w:left="620" w:hanging="477"/>
    </w:pPr>
  </w:style>
  <w:style w:type="paragraph" w:customStyle="1" w:styleId="TableParagraph">
    <w:name w:val="Table Paragraph"/>
    <w:basedOn w:val="Normal"/>
    <w:uiPriority w:val="1"/>
    <w:qFormat/>
    <w:pPr>
      <w:ind w:left="830" w:hanging="361"/>
      <w:jc w:val="both"/>
    </w:pPr>
  </w:style>
  <w:style w:type="paragraph" w:customStyle="1" w:styleId="Title">
    <w:name w:val="Title"/>
    <w:basedOn w:val="Normal"/>
    <w:pPr>
      <w:keepNext/>
      <w:widowControl/>
      <w:spacing w:before="0" w:after="100" w:line="252" w:lineRule="auto"/>
      <w:ind w:left="0" w:right="0" w:firstLine="0"/>
    </w:pPr>
    <w:rPr>
      <w:rFonts w:ascii="Calibri" w:hAnsi="Calibri"/>
      <w:b/>
      <w:i w:val="0"/>
      <w:color w:val="000000"/>
      <w:sz w:val="40"/>
      <w:lang w:val="pt-BR"/>
    </w:rPr>
  </w:style>
  <w:style w:type="paragraph" w:customStyle="1" w:styleId="Subtitle">
    <w:name w:val="Subtitle"/>
    <w:basedOn w:val="Normal"/>
    <w:pPr>
      <w:keepNext/>
      <w:widowControl/>
      <w:spacing w:before="0" w:after="100" w:line="252" w:lineRule="auto"/>
      <w:ind w:left="0" w:right="0" w:firstLine="0"/>
    </w:pPr>
    <w:rPr>
      <w:rFonts w:ascii="Calibri" w:hAnsi="Calibri"/>
      <w:b w:val="0"/>
      <w:i w:val="0"/>
      <w:color w:val="000000"/>
      <w:sz w:val="26"/>
      <w:lang w:val="pt-BR"/>
    </w:rPr>
  </w:style>
  <w:style w:type="paragraph" w:customStyle="1" w:styleId="Orientação">
    <w:name w:val="Orientação"/>
    <w:basedOn w:val="Normal"/>
    <w:pPr>
      <w:keepNext w:val="0"/>
      <w:widowControl/>
      <w:spacing w:before="0" w:after="100" w:line="252" w:lineRule="auto"/>
      <w:ind w:left="0" w:right="0" w:firstLine="0"/>
    </w:pPr>
    <w:rPr>
      <w:rFonts w:ascii="Calibri" w:hAnsi="Calibri"/>
      <w:b w:val="0"/>
      <w:i w:val="0"/>
      <w:color w:val="404040"/>
      <w:sz w:val="20"/>
      <w:lang w:val="pt-BR"/>
    </w:rPr>
  </w:style>
  <w:style w:type="paragraph" w:customStyle="1" w:styleId="Campoeditável">
    <w:name w:val="Campo editável"/>
    <w:basedOn w:val="Normal"/>
    <w:pPr>
      <w:keepNext w:val="0"/>
      <w:widowControl/>
      <w:spacing w:before="0" w:after="100" w:line="252" w:lineRule="auto"/>
      <w:ind w:left="0" w:right="0" w:firstLine="0"/>
    </w:pPr>
    <w:rPr>
      <w:rFonts w:ascii="Calibri" w:hAnsi="Calibri"/>
      <w:b w:val="0"/>
      <w:i/>
      <w:color w:val="234E70"/>
      <w:sz w:val="21"/>
      <w:lang w:val="pt-BR"/>
    </w:rPr>
  </w:style>
  <w:style w:type="paragraph" w:customStyle="1" w:styleId="Fonte">
    <w:name w:val="Fonte"/>
    <w:basedOn w:val="Normal"/>
    <w:pPr>
      <w:keepNext w:val="0"/>
      <w:widowControl/>
      <w:spacing w:before="0" w:after="100" w:line="252" w:lineRule="auto"/>
      <w:ind w:left="0" w:right="0" w:firstLine="0"/>
    </w:pPr>
    <w:rPr>
      <w:rFonts w:ascii="Calibri" w:hAnsi="Calibri"/>
      <w:b w:val="0"/>
      <w:i w:val="0"/>
      <w:color w:val="404040"/>
      <w:sz w:val="18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7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image" Target="media/image1.jpeg"/><Relationship Id="rId16" Type="http://schemas.openxmlformats.org/officeDocument/2006/relationships/footer" Target="footer4.xml"/><Relationship Id="rId17" Type="http://schemas.openxmlformats.org/officeDocument/2006/relationships/header" Target="header4.xml"/><Relationship Id="rId18" Type="http://schemas.openxmlformats.org/officeDocument/2006/relationships/hyperlink" Target="https://www.gov.br/gestao/pt-br/assuntos/estatais/central-de-conteudo/kits-governanca-ti/kit-2/gestao-de-riscos-de-seguranca-da-informacao/kit-2-governanca-tic-artefato-gestao-de-riscos-de-seguranca-da-informacao.pdf" TargetMode="External"/><Relationship Id="rId19" Type="http://schemas.openxmlformats.org/officeDocument/2006/relationships/hyperlink" Target="https://www.aena.es/sites/Satellite?blobcol=urldata&amp;blobkey=id&amp;blobtable=MungoBlobs&amp;blobwhere=1576874115175&amp;ssbinary=true" TargetMode="External"/><Relationship Id="rId20" Type="http://schemas.openxmlformats.org/officeDocument/2006/relationships/hyperlink" Target="https://static.voegol.com.br/voegol/2025-06-27/PO-DTI-SC-003-Pol%C3%ADtica%20de%20Seguran%C3%A7a%20da%20Informa%C3%A7%C3%A3o%20para%20Terceiro_r01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567</Words>
  <Characters>3065</Characters>
  <Application>Microsoft Office Word</Application>
  <DocSecurity>0</DocSecurity>
  <Lines>25</Lines>
  <Paragraphs>7</Paragraphs>
  <ScaleCrop>false</ScaleCrop>
  <Company/>
  <LinksUpToDate>false</LinksUpToDate>
  <CharactersWithSpaces>3625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Arthur, Isadora, Caio, Higor, Sabrina, Gustavo</dc:creator>
  <cp:lastModifiedBy>Equipe AeroLog</cp:lastModifiedBy>
  <cp:revision>2</cp:revision>
  <dcterms:created xsi:type="dcterms:W3CDTF">2026-09-09T16:50:00Z</dcterms:created>
  <dcterms:modified xsi:type="dcterms:W3CDTF">2026-09-09T16:50:00Z</dcterms:modified>
  <dc:title>Política de Gestão de Riscos da AeroLog</dc:title>
  <dc:subject>Modelo base acadêmico editável</dc:subject>
  <dc:description/>
  <cp:keywords>AeroLog, PGR, modelo base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2026-08-20T00:00:00Z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2026-08-20T00:00:00Z</vt:filetime>
  </property>
</Properties>
</file>