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428108"/>
            <wp:docPr id="1" name="Picture 1" descr="Logotipo UNIPAM do documento acadêmico de referênc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/>
          <w:sz w:val="26"/>
        </w:rPr>
        <w:t>UNIPAM</w:t>
      </w:r>
    </w:p>
    <w:p>
      <w:pPr>
        <w:spacing w:before="0" w:after="80"/>
        <w:jc w:val="center"/>
      </w:pPr>
      <w:r>
        <w:rPr>
          <w:b/>
          <w:sz w:val="24"/>
        </w:rPr>
        <w:t>CURSO DE SISTEMAS DE INFORMAÇÃO</w:t>
      </w:r>
    </w:p>
    <w:p>
      <w:pPr>
        <w:spacing w:before="0" w:after="80"/>
        <w:jc w:val="center"/>
      </w:pPr>
      <w:r>
        <w:rPr>
          <w:b w:val="0"/>
          <w:sz w:val="24"/>
        </w:rPr>
        <w:t>Auditoria e Segurança de Sistemas</w:t>
      </w:r>
    </w:p>
    <w:p>
      <w:pPr>
        <w:spacing w:before="0" w:after="0"/>
        <w:jc w:val="center"/>
      </w:pPr>
      <w:r>
        <w:rPr>
          <w:b w:val="0"/>
          <w:sz w:val="21"/>
        </w:rPr>
        <w:t>Turma / período: [preencher]</w:t>
      </w:r>
    </w:p>
    <w:p>
      <w:pPr>
        <w:spacing w:before="640" w:after="160"/>
        <w:jc w:val="center"/>
      </w:pPr>
      <w:r>
        <w:rPr>
          <w:b/>
          <w:sz w:val="22"/>
        </w:rPr>
        <w:t>EQUIPE</w:t>
      </w:r>
    </w:p>
    <w:p>
      <w:pPr>
        <w:spacing w:before="0" w:after="0"/>
        <w:jc w:val="center"/>
      </w:pPr>
      <w:r>
        <w:rPr>
          <w:b w:val="0"/>
          <w:sz w:val="24"/>
        </w:rPr>
        <w:t>Arthur • Isadora • Caio</w:t>
        <w:br/>
        <w:t>Higor • Sabrina • Gustavo</w:t>
      </w:r>
    </w:p>
    <w:p>
      <w:pPr>
        <w:pStyle w:val="Title"/>
        <w:spacing w:before="1160" w:after="180"/>
        <w:jc w:val="center"/>
      </w:pPr>
      <w:r>
        <w:t>Plano de Continuidade de Negócios</w:t>
      </w:r>
    </w:p>
    <w:p>
      <w:pPr>
        <w:pStyle w:val="Subtitle"/>
        <w:spacing w:before="0" w:after="140"/>
        <w:jc w:val="center"/>
      </w:pPr>
      <w:r>
        <w:t>AeroLog Transportes Aéreos</w:t>
      </w:r>
    </w:p>
    <w:p>
      <w:pPr>
        <w:spacing w:before="0" w:after="0"/>
        <w:jc w:val="center"/>
      </w:pPr>
      <w:r>
        <w:rPr>
          <w:b w:val="0"/>
          <w:sz w:val="22"/>
        </w:rPr>
        <w:t>PCN — Modelo base editável</w:t>
      </w:r>
    </w:p>
    <w:p>
      <w:pPr>
        <w:spacing w:before="2400" w:after="80"/>
        <w:jc w:val="center"/>
      </w:pPr>
      <w:r>
        <w:rPr>
          <w:b w:val="0"/>
          <w:sz w:val="22"/>
        </w:rPr>
        <w:t>[Cidade]</w:t>
      </w:r>
    </w:p>
    <w:p>
      <w:pPr>
        <w:spacing w:before="0" w:after="0"/>
        <w:jc w:val="center"/>
      </w:pPr>
      <w:r>
        <w:rPr>
          <w:b w:val="0"/>
          <w:sz w:val="22"/>
        </w:rPr>
        <w:t>2026</w:t>
      </w:r>
    </w:p>
    <w:p>
      <w:pPr>
        <w:pageBreakBefore/>
        <w:spacing w:before="0" w:after="0"/>
        <w:jc w:val="center"/>
      </w:pPr>
      <w:r>
        <w:rPr>
          <w:b w:val="0"/>
          <w:sz w:val="24"/>
        </w:rPr>
        <w:t>Arthur • Isadora • Caio</w:t>
        <w:br/>
        <w:t>Higor • Sabrina • Gustavo</w:t>
      </w:r>
    </w:p>
    <w:p>
      <w:pPr>
        <w:pStyle w:val="Title"/>
        <w:spacing w:before="1700" w:after="180"/>
        <w:jc w:val="center"/>
      </w:pPr>
      <w:r>
        <w:t>Plano de Continuidade de Negócios</w:t>
      </w:r>
    </w:p>
    <w:p>
      <w:pPr>
        <w:pStyle w:val="Subtitle"/>
        <w:spacing w:before="0" w:after="800"/>
        <w:jc w:val="center"/>
      </w:pPr>
      <w:r>
        <w:t>AeroLog Transportes Aéreos</w:t>
      </w:r>
    </w:p>
    <w:p>
      <w:pPr>
        <w:spacing w:after="240"/>
        <w:ind w:left="4252"/>
      </w:pPr>
      <w:r>
        <w:t>Modelo base elaborado para a atividade de Auditoria e Segurança de Sistemas, do curso de Sistemas de Informação da UNIPAM, referente ao estudo de caso da AeroLog Transportes Aéreos.</w:t>
      </w:r>
    </w:p>
    <w:p>
      <w:pPr>
        <w:ind w:left="4252"/>
      </w:pPr>
      <w:r>
        <w:t>Professor(a): [preencher]</w:t>
      </w:r>
    </w:p>
    <w:p>
      <w:pPr>
        <w:ind w:left="4252"/>
      </w:pPr>
      <w:r>
        <w:t>Turma / período: [preencher]</w:t>
      </w:r>
    </w:p>
    <w:p>
      <w:pPr>
        <w:ind w:left="4252"/>
      </w:pPr>
      <w:r>
        <w:t>Data de entrega: [preencher]</w:t>
      </w:r>
    </w:p>
    <w:p>
      <w:pPr>
        <w:spacing w:before="600" w:after="120"/>
        <w:jc w:val="center"/>
      </w:pPr>
      <w:r>
        <w:rPr>
          <w:b w:val="0"/>
          <w:sz w:val="21"/>
        </w:rPr>
        <w:t>Elaboração principal: Sabrina e Gustavo</w:t>
      </w:r>
    </w:p>
    <w:p>
      <w:pPr>
        <w:spacing w:before="0" w:after="120"/>
        <w:jc w:val="center"/>
      </w:pPr>
      <w:r>
        <w:rPr>
          <w:b w:val="0"/>
          <w:sz w:val="21"/>
        </w:rPr>
        <w:t>Revisão e integração: os seis integrantes</w:t>
      </w:r>
    </w:p>
    <w:p>
      <w:pPr>
        <w:spacing w:before="1960" w:after="80"/>
        <w:jc w:val="center"/>
      </w:pPr>
      <w:r>
        <w:rPr>
          <w:b w:val="0"/>
          <w:sz w:val="22"/>
        </w:rPr>
        <w:t>[Cidade]</w:t>
      </w:r>
    </w:p>
    <w:p>
      <w:pPr>
        <w:spacing w:before="0" w:after="0"/>
        <w:jc w:val="center"/>
      </w:pPr>
      <w:r>
        <w:rPr>
          <w:b w:val="0"/>
          <w:sz w:val="22"/>
        </w:rPr>
        <w:t>2026</w:t>
      </w:r>
    </w:p>
    <w:p>
      <w:pPr>
        <w:sectPr>
          <w:headerReference w:type="default" r:id="rId7"/>
          <w:footerReference w:type="default" r:id="rId10"/>
          <w:headerReference w:type="first" r:id="rId11"/>
          <w:footerReference w:type="first" r:id="rId12"/>
          <w:headerReference w:type="even" r:id="rId13"/>
          <w:footerReference w:type="even" r:id="rId14"/>
          <w:pgSz w:w="11906" w:h="16838"/>
          <w:pgMar w:top="1020" w:right="1134" w:bottom="1020" w:left="1134" w:header="397" w:footer="454" w:gutter="0"/>
          <w:cols w:space="720"/>
        </w:sectPr>
      </w:pPr>
    </w:p>
    <w:p>
      <w:pPr>
        <w:pStyle w:val="Subtitle"/>
      </w:pPr>
      <w:r>
        <w:rPr>
          <w:b/>
        </w:rPr>
        <w:t>Orientações para a equipe</w:t>
      </w:r>
    </w:p>
    <w:p>
      <w:pPr>
        <w:pStyle w:val="Orientação"/>
      </w:pPr>
      <w:r>
        <w:rPr>
          <w:b/>
        </w:rPr>
        <w:t xml:space="preserve">Finalidade deste arquivo: </w:t>
      </w:r>
      <w:r>
        <w:t>Oferecer uma base para a dupla começar a escrever, com contexto, textos iniciais e tabelas. As escolhas ainda em aberto aparecem entre colchetes. Este modelo não representa uma política aprovada nem um plano já implantado na AeroLog.</w:t>
      </w:r>
    </w:p>
    <w:p>
      <w:pPr>
        <w:pStyle w:val="Orientação"/>
      </w:pPr>
      <w:r>
        <w:rPr>
          <w:b/>
        </w:rPr>
        <w:t xml:space="preserve">Como usar: </w:t>
      </w:r>
      <w:r>
        <w:t>Leia a orientação da seção, adapte o texto inicial e complete os campos. Confirme com a outra dupla as decisões que afetarem mais de um documento. Na versão de entrega, retire as instruções de elaboração e preserve o conteúdo final, as referências e as premissas adotadas.</w:t>
      </w:r>
    </w:p>
    <w:p>
      <w:pPr>
        <w:pStyle w:val="Orientação"/>
      </w:pPr>
      <w:r>
        <w:rPr>
          <w:b/>
        </w:rPr>
        <w:t xml:space="preserve">FATO DO ESTUDO DE CASO: </w:t>
      </w:r>
      <w:r>
        <w:t>Informação explícita no PDF. Um requisito do enunciado, como propor backup offline, não prova que esse recurso já exista.</w:t>
      </w:r>
    </w:p>
    <w:p>
      <w:pPr>
        <w:pStyle w:val="Orientação"/>
      </w:pPr>
      <w:r>
        <w:rPr>
          <w:b/>
        </w:rPr>
        <w:t xml:space="preserve">PREMISSA ACADÊMICA: </w:t>
      </w:r>
      <w:r>
        <w:t>Escolha feita para construir a atividade, como frequência, responsável organizacional ou recurso de contingência. Os exemplos de controles são propostas para avaliação do grupo.</w:t>
      </w:r>
    </w:p>
    <w:p>
      <w:pPr>
        <w:pStyle w:val="Orientação"/>
      </w:pPr>
      <w:r>
        <w:rPr>
          <w:b/>
        </w:rPr>
        <w:t xml:space="preserve">REFERÊNCIA EXTERNA: </w:t>
      </w:r>
      <w:r>
        <w:t>Documento real usado para apoiar conceitos, organização ou linguagem. Seus cargos, ferramentas e prazos não se tornam automaticamente os da AeroLog.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Quem escreve</w:t>
            </w:r>
          </w:p>
        </w:tc>
        <w:tc>
          <w:tcPr>
            <w:tcW w:type="dxa" w:w="7370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Partes sob responsabilidade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Sabrina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1, 2 e 3; cenários C01 e C04 da seção 5.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Gustavo</w:t>
            </w:r>
          </w:p>
        </w:tc>
        <w:tc>
          <w:tcPr>
            <w:tcW w:type="dxa" w:w="737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4; cenários C02 e C03 da seção 5; 6, 7 e 8.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Sabrina e Gustavo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Abertura da seção 5 e integração das estratégias e dos cenários.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Integração entre os documentos: </w:t>
      </w:r>
      <w:r>
        <w:t>Arthur e Isadora definem as regras na PSI. Caio organiza e avalia os riscos; Higor propõe os tratamentos na PGR. Sabrina e Gustavo usam esses mesmos riscos e controles para elaborar o PCN.</w:t>
      </w:r>
    </w:p>
    <w:p>
      <w:pPr>
        <w:pStyle w:val="Orientação"/>
      </w:pPr>
      <w:r>
        <w:rPr>
          <w:b/>
        </w:rPr>
        <w:t xml:space="preserve">Responsáveis da empresa: </w:t>
      </w:r>
      <w:r>
        <w:t>Quando uma tabela pedir “responsável”, use a função da AeroLog, como TI ou gestor da área. Os nomes dos alunos identificam apenas a autoria acadêmica.</w:t>
      </w:r>
    </w:p>
    <w:p>
      <w:pPr>
        <w:pStyle w:val="Orientação"/>
      </w:pPr>
      <w:r>
        <w:rPr>
          <w:b/>
        </w:rPr>
        <w:t xml:space="preserve">Dados acadêmicos: </w:t>
      </w:r>
      <w:r>
        <w:t>Instituição e curso seguem o exemplo enviado; a disciplina foi informada pelo grupo. Completar professor, turma/período, cidade, data de entrega e nomes completos, se a instituição exigir.</w:t>
      </w:r>
    </w:p>
    <w:p>
      <w:pPr>
        <w:pStyle w:val="Orientação"/>
      </w:pPr>
      <w:r>
        <w:rPr>
          <w:b/>
        </w:rPr>
        <w:t xml:space="preserve">Controle do modelo: </w:t>
      </w:r>
      <w:r>
        <w:t>Versão 0.2 | 08/10/2026 | Guardar os prompts para o documento adicional solicitado no enunciado.</w:t>
      </w:r>
    </w:p>
    <w:p>
      <w:pPr>
        <w:pStyle w:val="Ttulo1"/>
        <w:pageBreakBefore/>
      </w:pPr>
      <w:r>
        <w:t>1. Objetivo e Escopo</w:t>
      </w:r>
    </w:p>
    <w:p>
      <w:pPr>
        <w:pStyle w:val="Orientação"/>
      </w:pPr>
      <w:r>
        <w:rPr>
          <w:b/>
        </w:rPr>
        <w:t xml:space="preserve">Quem escreve: </w:t>
      </w:r>
      <w:r>
        <w:t>Sabrina</w:t>
      </w:r>
    </w:p>
    <w:p>
      <w:pPr>
        <w:pStyle w:val="Orientação"/>
      </w:pPr>
      <w:r>
        <w:rPr>
          <w:b/>
        </w:rPr>
        <w:t xml:space="preserve">Objetivo da seção: </w:t>
      </w:r>
      <w:r>
        <w:t>Explicar o que o plano deve preservar ou recuperar diante de interrupções relevantes.</w:t>
      </w:r>
    </w:p>
    <w:p>
      <w:pPr>
        <w:pStyle w:val="Orientação"/>
      </w:pPr>
      <w:r>
        <w:rPr>
          <w:b/>
        </w:rPr>
        <w:t xml:space="preserve">O que escrever: </w:t>
      </w:r>
      <w:r>
        <w:t>Delimite processos, sistemas e tipos de interrupção. Diferencie manter uma atividade em contingência de restaurar o funcionamento normal. A continuidade deve respeitar a segurança operacional e os limites técnicos aplicáveis.</w:t>
      </w:r>
    </w:p>
    <w:p>
      <w:pPr>
        <w:pStyle w:val="Orientação"/>
      </w:pPr>
      <w:r>
        <w:rPr>
          <w:b/>
        </w:rPr>
        <w:t xml:space="preserve">Fato do estudo de caso: </w:t>
      </w:r>
      <w:r>
        <w:t>A AeroLog transporta cargas e passageiros; possui servidores locais, reservas e sistemas críticos embarcados. O enunciado exige continuidade das reservas e das operações de voo.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ANAC, Portaria nº 9.459/STI; Kit 3 do MGI.</w:t>
      </w:r>
    </w:p>
    <w:p>
      <w:pPr>
        <w:pStyle w:val="Orientação"/>
      </w:pPr>
      <w:r>
        <w:rPr>
          <w:b/>
        </w:rPr>
        <w:t xml:space="preserve">Alinhamento necessário: </w:t>
      </w:r>
      <w:r>
        <w:t>Usar o escopo da PSI de Arthur e Isadora e os riscos definidos por Caio e tratados por Higor.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Este PCN orienta a continuidade e a retomada dos serviços críticos da AeroLog diante de interrupções relevantes, considerando reservas, suporte às operações aéreas e sistemas críticos embarcados.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[Definir os limites do plano e a relação entre acionamento da contingência e resposta a incidentes.]</w:t>
      </w:r>
    </w:p>
    <w:p>
      <w:pPr>
        <w:pStyle w:val="Orientação"/>
      </w:pPr>
      <w:r>
        <w:rPr>
          <w:b/>
        </w:rPr>
        <w:t xml:space="preserve">Contexto já preenchido: </w:t>
      </w:r>
      <w:r>
        <w:t>A empresa atende 20 cidades brasileiras, possui 1.100 funcionários, 50 servidores locais, equipe própria de TI e contratos internacionais de suporte de software de navegação.</w:t>
      </w:r>
    </w:p>
    <w:p>
      <w:pPr>
        <w:pStyle w:val="Orientação"/>
      </w:pPr>
      <w:r>
        <w:rPr>
          <w:b/>
        </w:rPr>
        <w:t xml:space="preserve">Limite do modelo: </w:t>
      </w:r>
      <w:r>
        <w:t>O caso não fornece localização de ambiente alternativo, capacidade de contingência, tempos de recuperação ou contatos. Esses elementos devem ser campos de decisão ou propostas acadêmicas, nunca fatos presumidos.</w:t>
      </w:r>
    </w:p>
    <w:p>
      <w:pPr>
        <w:pStyle w:val="Ttulo1"/>
        <w:pageBreakBefore/>
      </w:pPr>
      <w:r>
        <w:t>2. Processos e Sistemas Críticos</w:t>
      </w:r>
    </w:p>
    <w:p>
      <w:pPr>
        <w:pStyle w:val="Orientação"/>
      </w:pPr>
      <w:r>
        <w:rPr>
          <w:b/>
        </w:rPr>
        <w:t xml:space="preserve">Quem escreve: </w:t>
      </w:r>
      <w:r>
        <w:t>Sabrina</w:t>
      </w:r>
    </w:p>
    <w:p>
      <w:pPr>
        <w:pStyle w:val="Orientação"/>
      </w:pPr>
      <w:r>
        <w:rPr>
          <w:b/>
        </w:rPr>
        <w:t xml:space="preserve">Objetivo da seção: </w:t>
      </w:r>
      <w:r>
        <w:t>Identificar o que precisa ser mantido ou recuperado e do que cada atividade depende.</w:t>
      </w:r>
    </w:p>
    <w:p>
      <w:pPr>
        <w:pStyle w:val="Orientação"/>
      </w:pPr>
      <w:r>
        <w:rPr>
          <w:b/>
        </w:rPr>
        <w:t xml:space="preserve">O que escrever: </w:t>
      </w:r>
      <w:r>
        <w:t>Descreva a função de cada processo, os sistemas que o apoiam e suas dependências. O inventário abaixo usa os elementos citados no caso. Detalhes técnicos e vínculos não informados devem ser confirmados como premissas.</w:t>
      </w:r>
    </w:p>
    <w:p>
      <w:pPr>
        <w:pStyle w:val="Orientação"/>
      </w:pPr>
      <w:r>
        <w:rPr>
          <w:b/>
        </w:rPr>
        <w:t xml:space="preserve">Fato do estudo de caso: </w:t>
      </w:r>
      <w:r>
        <w:t>Há operações de cargas e passageiros, reservas, controle de voo, sistemas embarcados e infraestrutura com 50 servidores locais.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Kit 3 do MGI; ANAC, conceitos de atividades e ativos críticos.</w:t>
      </w:r>
    </w:p>
    <w:p>
      <w:pPr>
        <w:pStyle w:val="Orientação"/>
      </w:pPr>
      <w:r>
        <w:rPr>
          <w:b/>
        </w:rPr>
        <w:t xml:space="preserve">Alinhamento necessário: </w:t>
      </w:r>
      <w:r>
        <w:t>Caio confirma os ativos da PGR. Gustavo precisa das dependências para escolher estratégias viáveis.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Os processos e sistemas a seguir constituem o levantamento inicial para a continuidade. Sua criticidade e suas dependências deverão ser validadas antes da definição da ordem de recuperação.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[Completar os responsáveis funcionais e validar as dependências.]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Processo / sistema</w:t>
            </w:r>
          </w:p>
        </w:tc>
        <w:tc>
          <w:tcPr>
            <w:tcW w:type="dxa" w:w="3572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O que considerar</w:t>
            </w:r>
          </w:p>
        </w:tc>
        <w:tc>
          <w:tcPr>
            <w:tcW w:type="dxa" w:w="362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Dependências a confirmar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Operações de voo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Transporte de cargas e passageiros e suporte ao gerenciamento das operações.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[Informações, sistemas e funções necessárias à continuidade segura.]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Sistemas críticos embarcados</w:t>
            </w:r>
          </w:p>
        </w:tc>
        <w:tc>
          <w:tcPr>
            <w:tcW w:type="dxa" w:w="357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Integridade e disponibilidade dos sistemas das aeronaves, incluindo navegação mencionada no enunciado.</w:t>
            </w:r>
          </w:p>
        </w:tc>
        <w:tc>
          <w:tcPr>
            <w:tcW w:type="dxa" w:w="362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[Suporte técnico autorizado e condições de validação.]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Reservas / emissão de passagens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Disponibilidade das reservas e integridade dos registros; GDS citado como meio de fraude.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[Relação entre reservas e GDS; dados, comunicação e infraestrutura.]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Infraestrutura local de TI</w:t>
            </w:r>
          </w:p>
        </w:tc>
        <w:tc>
          <w:tcPr>
            <w:tcW w:type="dxa" w:w="357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50 servidores locais como conjunto de recursos de apoio.</w:t>
            </w:r>
          </w:p>
        </w:tc>
        <w:tc>
          <w:tcPr>
            <w:tcW w:type="dxa" w:w="362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[Quais serviços dependem de quais servidores; não presumir que todos hospedam reservas.]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Suporte externo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Contratos internacionais com fornecedores de software de navegação.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[Serviços prestados, limites de acesso e canal de contato.]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Critério de inclusão: </w:t>
      </w:r>
      <w:r>
        <w:t>Check-in, embarque e sistemas administrativos aparecem como exemplos no guia, mas não são detalhados no PDF. Se forem incluídos, explicitar que sua descrição e suas dependências são premissas do grupo.</w:t>
      </w:r>
    </w:p>
    <w:p>
      <w:pPr>
        <w:pStyle w:val="Ttulo1"/>
        <w:pageBreakBefore/>
      </w:pPr>
      <w:r>
        <w:t>3. Impactos e Prioridades de Recuperação</w:t>
      </w:r>
    </w:p>
    <w:p>
      <w:pPr>
        <w:pStyle w:val="Orientação"/>
      </w:pPr>
      <w:r>
        <w:rPr>
          <w:b/>
        </w:rPr>
        <w:t xml:space="preserve">Quem escreve: </w:t>
      </w:r>
      <w:r>
        <w:t>Sabrina</w:t>
      </w:r>
    </w:p>
    <w:p>
      <w:pPr>
        <w:pStyle w:val="Orientação"/>
      </w:pPr>
      <w:r>
        <w:rPr>
          <w:b/>
        </w:rPr>
        <w:t xml:space="preserve">Objetivo da seção: </w:t>
      </w:r>
      <w:r>
        <w:t>Determinar as consequências de uma interrupção e a sequência de retomada.</w:t>
      </w:r>
    </w:p>
    <w:p>
      <w:pPr>
        <w:pStyle w:val="Orientação"/>
      </w:pPr>
      <w:r>
        <w:rPr>
          <w:b/>
        </w:rPr>
        <w:t xml:space="preserve">O que escrever: </w:t>
      </w:r>
      <w:r>
        <w:t>Analise impacto operacional, sobre passageiros, dados e segurança. Justifique a prioridade e considere dependências: um recurso de apoio pode precisar voltar antes do serviço final. Não use automaticamente o nível do risco como número de prioridade.</w:t>
      </w:r>
    </w:p>
    <w:p>
      <w:pPr>
        <w:pStyle w:val="Orientação"/>
      </w:pPr>
      <w:r>
        <w:rPr>
          <w:b/>
        </w:rPr>
        <w:t xml:space="preserve">Fato do estudo de caso: </w:t>
      </w:r>
      <w:r>
        <w:t>O enunciado solicita retomada das operações críticas, continuidade das reservas e dos voos. Não fornece perdas financeiras nem metas de tempo.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ANAC, conceitos de criticidade e recuperação; Kit 3 do MGI.</w:t>
      </w:r>
    </w:p>
    <w:p>
      <w:pPr>
        <w:pStyle w:val="Orientação"/>
      </w:pPr>
      <w:r>
        <w:rPr>
          <w:b/>
        </w:rPr>
        <w:t xml:space="preserve">Alinhamento necessário: </w:t>
      </w:r>
      <w:r>
        <w:t>Gustavo só poderá validar estratégias e sequência de recuperação após receber esta análise; Higor deve conferir sua compatibilidade com os tratamentos.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A prioridade de recuperação será definida pelas consequências da indisponibilidade e pelas dependências necessárias à retomada segura de cada processo.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[Completar criticidade, prioridade e justificativa sem fixar tempos sem acordo do grupo.]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4706"/>
        <w:gridCol w:w="2494"/>
      </w:tblGrid>
      <w:tr>
        <w:trPr>
          <w:cantSplit/>
          <w:tblHeader/>
        </w:trPr>
        <w:tc>
          <w:tcPr>
            <w:tcW w:type="dxa" w:w="243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Processo / sistema</w:t>
            </w:r>
          </w:p>
        </w:tc>
        <w:tc>
          <w:tcPr>
            <w:tcW w:type="dxa" w:w="4706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Impacto potencial a analisar</w:t>
            </w:r>
          </w:p>
        </w:tc>
        <w:tc>
          <w:tcPr>
            <w:tcW w:type="dxa" w:w="2494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Criticidade / prioridade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Operações de voo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Prejuízo ao gerenciamento e à execução segura das operações, conforme o sistema afetado.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 e justificar]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Sistemas embarcados</w:t>
            </w:r>
          </w:p>
        </w:tc>
        <w:tc>
          <w:tcPr>
            <w:tcW w:type="dxa" w:w="470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Perda de integridade ou disponibilidade de recursos críticos; requer avaliação técnica e operacional.</w:t>
            </w:r>
          </w:p>
        </w:tc>
        <w:tc>
          <w:tcPr>
            <w:tcW w:type="dxa" w:w="249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 e justificar]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Reservas / emissão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Interrupção de atendimento e emissão ou inconsistência de registros.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 e justificar]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Infraestrutura local</w:t>
            </w:r>
          </w:p>
        </w:tc>
        <w:tc>
          <w:tcPr>
            <w:tcW w:type="dxa" w:w="470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Interrupção dos serviços que efetivamente dependam dos servidores afetados.</w:t>
            </w:r>
          </w:p>
        </w:tc>
        <w:tc>
          <w:tcPr>
            <w:tcW w:type="dxa" w:w="249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 e justificar]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RTO e RPO são opcionais: </w:t>
      </w:r>
      <w:r>
        <w:t>Se o grupo usar esses termos, RTO é a meta de tempo para restaurar o serviço; RPO delimita a perda de dados tolerada em termos de tempo. Todos os valores serão premissas acadêmicas e deverão ser compatíveis com a estratégia de backup e recuperação.</w:t>
      </w:r>
    </w:p>
    <w:p>
      <w:pPr>
        <w:pStyle w:val="Campoeditável"/>
      </w:pPr>
      <w:r>
        <w:rPr>
          <w:b/>
        </w:rPr>
        <w:t xml:space="preserve">Campos opcionais: </w:t>
      </w:r>
      <w:r>
        <w:t>[Processo | RTO proposto | RPO proposto | justificativa | recurso necessário]. Se não forem usados, retirar este campo e manter prioridades qualitativas.</w:t>
      </w:r>
    </w:p>
    <w:p>
      <w:pPr>
        <w:pStyle w:val="Ttulo1"/>
        <w:pageBreakBefore/>
      </w:pPr>
      <w:r>
        <w:t>4. Estratégias de Continuidade</w:t>
      </w:r>
    </w:p>
    <w:p>
      <w:pPr>
        <w:pStyle w:val="Orientação"/>
      </w:pPr>
      <w:r>
        <w:rPr>
          <w:b/>
        </w:rPr>
        <w:t xml:space="preserve">Quem escreve: </w:t>
      </w:r>
      <w:r>
        <w:t>Gustavo</w:t>
      </w:r>
    </w:p>
    <w:p>
      <w:pPr>
        <w:pStyle w:val="Orientação"/>
      </w:pPr>
      <w:r>
        <w:rPr>
          <w:b/>
        </w:rPr>
        <w:t xml:space="preserve">Objetivo da seção: </w:t>
      </w:r>
      <w:r>
        <w:t>Escolher os meios para continuar ou recuperar os processos priorizados.</w:t>
      </w:r>
    </w:p>
    <w:p>
      <w:pPr>
        <w:pStyle w:val="Orientação"/>
      </w:pPr>
      <w:r>
        <w:rPr>
          <w:b/>
        </w:rPr>
        <w:t xml:space="preserve">O que escrever: </w:t>
      </w:r>
      <w:r>
        <w:t>Para cada estratégia, indique o recurso necessário, a função responsável, as limitações e a relação com a PGR e a PSI. Separe recursos existentes informados no caso de soluções que o grupo propõe implantar.</w:t>
      </w:r>
    </w:p>
    <w:p>
      <w:pPr>
        <w:pStyle w:val="Orientação"/>
      </w:pPr>
      <w:r>
        <w:rPr>
          <w:b/>
        </w:rPr>
        <w:t xml:space="preserve">Fato do estudo de caso: </w:t>
      </w:r>
      <w:r>
        <w:t>O enunciado pede backup offline para reservas, continuidade dos voos durante indisponibilidade de gerenciamento e isolamento de sistemas embarcados comprometidos. Não confirma recursos de contingência implantados.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Kit 3 do MGI; ANAC; GOL, continuidade e recuperação.</w:t>
      </w:r>
    </w:p>
    <w:p>
      <w:pPr>
        <w:pStyle w:val="Orientação"/>
      </w:pPr>
      <w:r>
        <w:rPr>
          <w:b/>
        </w:rPr>
        <w:t xml:space="preserve">Alinhamento necessário: </w:t>
      </w:r>
      <w:r>
        <w:t>Sabrina define necessidades e prioridades; Higor confirma os tratamentos; Isadora alinha backups e incidentes; Arthur alinha acesso de fornecedores.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As estratégias de continuidade deverão ser escolhidas conforme os impactos e as prioridades definidos na seção 3, com indicação dos recursos que precisam ser disponibilizados.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[Validar as propostas da tabela e explicar como elas atendem às prioridades.]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3969"/>
        <w:gridCol w:w="3118"/>
      </w:tblGrid>
      <w:tr>
        <w:trPr>
          <w:cantSplit/>
          <w:tblHeader/>
        </w:trPr>
        <w:tc>
          <w:tcPr>
            <w:tcW w:type="dxa" w:w="255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Proposta acadêmica</w:t>
            </w:r>
          </w:p>
        </w:tc>
        <w:tc>
          <w:tcPr>
            <w:tcW w:type="dxa" w:w="3969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Aplicação inicial</w:t>
            </w:r>
          </w:p>
        </w:tc>
        <w:tc>
          <w:tcPr>
            <w:tcW w:type="dxa" w:w="311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O que Gustavo deve completar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Cópias offline e restauração testada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Recuperar dados das reservas quando a integridade ou disponibilidade das cópias operacionais for afetada.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[Frequência, proteção, localização proposta, validação e responsável.]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Tratamento da indisponibilidade por DDoS</w:t>
            </w:r>
          </w:p>
        </w:tc>
        <w:tc>
          <w:tcPr>
            <w:tcW w:type="dxa" w:w="396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Manter ou recuperar acesso às reservas com suporte técnico e estratégia compatível com a ameaça.</w:t>
            </w:r>
          </w:p>
        </w:tc>
        <w:tc>
          <w:tcPr>
            <w:tcW w:type="dxa" w:w="311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[Meios de proteção, alternativa de serviço e limitações.]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Alternativa para gerenciamento de voos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Preservar as atividades possíveis durante indisponibilidade dos sistemas de gerenciamento.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[Informações mínimas, funções decisoras, limites e recursos propostos.]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Contenção técnica de comprometimento</w:t>
            </w:r>
          </w:p>
        </w:tc>
        <w:tc>
          <w:tcPr>
            <w:tcW w:type="dxa" w:w="396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Restringir o comprometimento e recuperar integridade com participação das equipes competentes.</w:t>
            </w:r>
          </w:p>
        </w:tc>
        <w:tc>
          <w:tcPr>
            <w:tcW w:type="dxa" w:w="311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[Critérios, autorização, segurança operacional e validação.]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Comunicação alternativa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Manter coordenação quando o canal principal falhar.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[Canal proposto, acesso, contatos e responsabilidade.]</w:t>
            </w:r>
          </w:p>
        </w:tc>
      </w:tr>
    </w:tbl>
    <w:p>
      <w:pPr>
        <w:spacing w:after="20"/>
      </w:pPr>
    </w:p>
    <w:p>
      <w:pPr>
        <w:pStyle w:val="Orientação"/>
        <w:pageBreakBefore/>
      </w:pPr>
      <w:r>
        <w:rPr>
          <w:b/>
        </w:rPr>
        <w:t xml:space="preserve">Estratégias de Continuidade — decisões que precisam ser combinadas </w:t>
      </w:r>
      <w:r/>
    </w:p>
    <w:p>
      <w:pPr>
        <w:pStyle w:val="Orientação"/>
      </w:pPr>
      <w:r>
        <w:rPr>
          <w:b/>
        </w:rPr>
        <w:t xml:space="preserve">Backup não resolve todo incidente: </w:t>
      </w:r>
      <w:r>
        <w:t>Restaurar uma cópia não elimina, por si só, um ataque DDoS ainda ativo. O cenário deve combinar o tratamento da indisponibilidade com a recuperação dos dados quando ela for necessária.</w:t>
      </w:r>
    </w:p>
    <w:p>
      <w:pPr>
        <w:pStyle w:val="Orientação"/>
      </w:pPr>
      <w:r>
        <w:rPr>
          <w:b/>
        </w:rPr>
        <w:t xml:space="preserve">Continuidade dos voos durante falha de gerenciamento: </w:t>
      </w:r>
      <w:r>
        <w:t>Definir quais informações e autorizações são indispensáveis; quais atividades podem continuar com uma alternativa previamente validada; quais devem aguardar recuperação; e quem pode decidir pela retomada. Não pressupor que processos manuais permitam a realização de qualquer voo.</w:t>
      </w:r>
    </w:p>
    <w:p>
      <w:pPr>
        <w:pStyle w:val="Orientação"/>
      </w:pPr>
      <w:r>
        <w:rPr>
          <w:b/>
        </w:rPr>
        <w:t xml:space="preserve">R04 — sistemas legados de controle de voo: </w:t>
      </w:r>
      <w:r>
        <w:t>Esta estratégia deve contemplar o risco R04 da PGR. O grupo deve especificar a dependência entre controle de voo, gerenciamento e demais sistemas como premissa quando o caso não a detalhar. A falha de um legado não significa automaticamente indisponibilidade das reservas.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6123"/>
      </w:tblGrid>
      <w:tr>
        <w:trPr>
          <w:cantSplit/>
          <w:tblHeader/>
        </w:trPr>
        <w:tc>
          <w:tcPr>
            <w:tcW w:type="dxa" w:w="3515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Decisão operacional / técnica</w:t>
            </w:r>
          </w:p>
        </w:tc>
        <w:tc>
          <w:tcPr>
            <w:tcW w:type="dxa" w:w="6123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Preenchimento por Gustavo com Sabrina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Atividade mínima a preservar</w:t>
            </w:r>
          </w:p>
        </w:tc>
        <w:tc>
          <w:tcPr>
            <w:tcW w:type="dxa" w:w="612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[Identificar o processo e as informações essenciais.]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Condição para usar a alternativa</w:t>
            </w:r>
          </w:p>
        </w:tc>
        <w:tc>
          <w:tcPr>
            <w:tcW w:type="dxa" w:w="6123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 autorização, validação e restrições.]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Recurso necessário e sua situação</w:t>
            </w:r>
          </w:p>
        </w:tc>
        <w:tc>
          <w:tcPr>
            <w:tcW w:type="dxa" w:w="612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[Confirmado no caso / proposto para a atividade.]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Critério para interromper ou retomar</w:t>
            </w:r>
          </w:p>
        </w:tc>
        <w:tc>
          <w:tcPr>
            <w:tcW w:type="dxa" w:w="6123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[Indicar avaliação técnica e decisão operacional competente.]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Retorno ao gerenciamento normal</w:t>
            </w:r>
          </w:p>
        </w:tc>
        <w:tc>
          <w:tcPr>
            <w:tcW w:type="dxa" w:w="612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[Conferir dados, pendências e integridade antes de encerrar a contingência.]</w:t>
            </w:r>
          </w:p>
        </w:tc>
      </w:tr>
    </w:tbl>
    <w:p>
      <w:pPr>
        <w:spacing w:after="20"/>
      </w:pPr>
    </w:p>
    <w:p>
      <w:pPr>
        <w:pStyle w:val="Campoeditável"/>
      </w:pPr>
      <w:r>
        <w:rPr>
          <w:b/>
        </w:rPr>
        <w:t xml:space="preserve">Coerência das propostas: </w:t>
      </w:r>
      <w:r>
        <w:t>[Registrar aqui as decisões compartilhadas sobre backup, infraestrutura, acesso de fornecedores e recursos alternativos. Replicar a mesma premissa na PGR e na PSI quando pertinente.]</w:t>
      </w:r>
    </w:p>
    <w:p>
      <w:pPr>
        <w:pStyle w:val="Ttulo1"/>
        <w:pageBreakBefore/>
      </w:pPr>
      <w:r>
        <w:t>5. Cenários de Contingência, Resposta e Recuperação</w:t>
      </w:r>
    </w:p>
    <w:p>
      <w:pPr>
        <w:pStyle w:val="Orientação"/>
      </w:pPr>
      <w:r>
        <w:rPr>
          <w:b/>
        </w:rPr>
        <w:t xml:space="preserve">Quem escreve: </w:t>
      </w:r>
      <w:r>
        <w:t>Sabrina e Gustavo</w:t>
      </w:r>
    </w:p>
    <w:p>
      <w:pPr>
        <w:pStyle w:val="Orientação"/>
      </w:pPr>
      <w:r>
        <w:rPr>
          <w:b/>
        </w:rPr>
        <w:t xml:space="preserve">Objetivo da seção: </w:t>
      </w:r>
      <w:r>
        <w:t>Transformar as estratégias em respostas organizadas para quatro situações do guia.</w:t>
      </w:r>
    </w:p>
    <w:p>
      <w:pPr>
        <w:pStyle w:val="Orientação"/>
      </w:pPr>
      <w:r>
        <w:rPr>
          <w:b/>
        </w:rPr>
        <w:t xml:space="preserve">O que escrever: </w:t>
      </w:r>
      <w:r>
        <w:t>Utilize a mesma sequência nos quatro cenários: identificar, acionar, conter/continuar, recuperar, validar e retornar. Cada cenário precisa ter gatilho, risco associado, funções responsáveis e critérios de conclusão.</w:t>
      </w:r>
    </w:p>
    <w:p>
      <w:pPr>
        <w:pStyle w:val="Orientação"/>
      </w:pPr>
      <w:r>
        <w:rPr>
          <w:b/>
        </w:rPr>
        <w:t xml:space="preserve">Fato do estudo de caso: </w:t>
      </w:r>
      <w:r>
        <w:t>O caso envolve DDoS, fraude, suporte externo, sistemas embarcados e exigência de retomada de serviços críticos.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ANAC, estrutura de continuidade; Kit 3 do MGI; GOL.</w:t>
      </w:r>
    </w:p>
    <w:p>
      <w:pPr>
        <w:pStyle w:val="Orientação"/>
      </w:pPr>
      <w:r>
        <w:rPr>
          <w:b/>
        </w:rPr>
        <w:t xml:space="preserve">Alinhamento necessário: </w:t>
      </w:r>
      <w:r>
        <w:t>Caio mantém os IDs de risco; Higor verifica os tratamentos; Sabrina e Gustavo usam as estratégias da seção 4.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Os cenários abaixo organizam a resposta a interrupções relevantes. Sua ativação deverá considerar o processo afetado, os riscos associados e os critérios aprovados para a atividade.</w:t>
      </w:r>
    </w:p>
    <w:p>
      <w:pPr>
        <w:pStyle w:val="Campoeditável"/>
      </w:pPr>
      <w:r>
        <w:rPr>
          <w:b/>
        </w:rPr>
        <w:t xml:space="preserve">Completar pela equipe: </w:t>
      </w:r>
      <w:r>
        <w:t>[Padronizar os gatilhos e a forma de registrar decisões; completar as quatro fichas a seguir.]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1531"/>
        <w:gridCol w:w="4649"/>
      </w:tblGrid>
      <w:tr>
        <w:trPr>
          <w:cantSplit/>
          <w:tblHeader/>
        </w:trPr>
        <w:tc>
          <w:tcPr>
            <w:tcW w:type="dxa" w:w="345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Cenário</w:t>
            </w:r>
          </w:p>
        </w:tc>
        <w:tc>
          <w:tcPr>
            <w:tcW w:type="dxa" w:w="153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Quem escreve</w:t>
            </w:r>
          </w:p>
        </w:tc>
        <w:tc>
          <w:tcPr>
            <w:tcW w:type="dxa" w:w="4649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Relação inicial com a PGR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C01 — Reservas</w:t>
            </w:r>
          </w:p>
        </w:tc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Sabrina</w:t>
            </w:r>
          </w:p>
        </w:tc>
        <w:tc>
          <w:tcPr>
            <w:tcW w:type="dxa" w:w="46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R01. R04 somente com dependência de reservas explicitada como premissa.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C02 — Sistema crítico ou embarcado</w:t>
            </w:r>
          </w:p>
        </w:tc>
        <w:tc>
          <w:tcPr>
            <w:tcW w:type="dxa" w:w="153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Gustavo</w:t>
            </w:r>
          </w:p>
        </w:tc>
        <w:tc>
          <w:tcPr>
            <w:tcW w:type="dxa" w:w="464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R05; conferir eventual relação causal com R03.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C03 — Fornecedor externo</w:t>
            </w:r>
          </w:p>
        </w:tc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Gustavo</w:t>
            </w:r>
          </w:p>
        </w:tc>
        <w:tc>
          <w:tcPr>
            <w:tcW w:type="dxa" w:w="46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R03; pode afetar um sistema também tratado em R05.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C04 — Incidente de grande impacto</w:t>
            </w:r>
          </w:p>
        </w:tc>
        <w:tc>
          <w:tcPr>
            <w:tcW w:type="dxa" w:w="153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Sabrina</w:t>
            </w:r>
          </w:p>
        </w:tc>
        <w:tc>
          <w:tcPr>
            <w:tcW w:type="dxa" w:w="464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R01, R03 e/ou R05, conforme o evento amplo adotado.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Mesmo evento em mais de um cenário: </w:t>
      </w:r>
      <w:r>
        <w:t>Uma ocorrência pode começar por um fornecedor e atingir um sistema embarcado. Nessa situação, C03 e C02 podem ser acionados de forma coordenada, com um responsável pela coordenação definido na seção 7.</w:t>
      </w:r>
    </w:p>
    <w:p>
      <w:pPr>
        <w:pStyle w:val="Orientação"/>
      </w:pPr>
      <w:r>
        <w:rPr>
          <w:b/>
        </w:rPr>
        <w:t xml:space="preserve">C04 não cria riscos silenciosamente: </w:t>
      </w:r>
      <w:r>
        <w:t>O cenário amplo deve indicar quais riscos da PGR se materializaram. Se a equipe escolher ransomware ou outro risco adicional, Caio deverá registrá-lo e Higor tratá-lo antes de consolidar a nova referência.</w:t>
      </w:r>
    </w:p>
    <w:p>
      <w:pPr>
        <w:pStyle w:val="Ttulo2"/>
        <w:pageBreakBefore/>
      </w:pPr>
      <w:r>
        <w:t>C01 — Indisponibilidade do sistema de reservas</w:t>
      </w:r>
    </w:p>
    <w:p>
      <w:pPr>
        <w:pStyle w:val="Orientação"/>
      </w:pPr>
      <w:r>
        <w:rPr>
          <w:b/>
        </w:rPr>
        <w:t xml:space="preserve">Quem escreve: </w:t>
      </w:r>
      <w:r>
        <w:t>Sabrina</w:t>
      </w:r>
    </w:p>
    <w:p>
      <w:pPr>
        <w:pStyle w:val="Orientação"/>
      </w:pPr>
      <w:r>
        <w:rPr>
          <w:b/>
        </w:rPr>
        <w:t xml:space="preserve">Objetivo da seção: </w:t>
      </w:r>
      <w:r>
        <w:t>Descrever uma sequência compreensível de resposta, contingência, recuperação e retorno, com funções responsáveis e critérios de conclusão.</w:t>
      </w:r>
    </w:p>
    <w:p>
      <w:pPr>
        <w:pStyle w:val="Orientação"/>
      </w:pPr>
      <w:r>
        <w:rPr>
          <w:b/>
        </w:rPr>
        <w:t xml:space="preserve">O que escrever: </w:t>
      </w:r>
      <w:r>
        <w:t>Adapte as ações iniciais da tabela, defina quando o cenário será acionado e como verificar que o serviço pode retornar. Complete funções, recursos e critérios sem criar procedimentos técnicos de aeronave ou de voo.</w:t>
      </w:r>
    </w:p>
    <w:p>
      <w:pPr>
        <w:pStyle w:val="Orientação"/>
      </w:pPr>
      <w:r>
        <w:rPr>
          <w:b/>
        </w:rPr>
        <w:t xml:space="preserve">Fato do estudo de caso: </w:t>
      </w:r>
      <w:r>
        <w:t>O sistema de reservas é alvo de DDoS; o enunciado solicita continuidade com backup offline.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ANAC, Portaria nº 9.459/STI, como exemplo de organização; Kit 3 do MGI; GOL para controles e continuidade de terceiros.</w:t>
      </w:r>
    </w:p>
    <w:p>
      <w:pPr>
        <w:pStyle w:val="Orientação"/>
      </w:pPr>
      <w:r>
        <w:rPr>
          <w:b/>
        </w:rPr>
        <w:t xml:space="preserve">Riscos relacionados: </w:t>
      </w:r>
      <w:r>
        <w:t>R01. Associar R04 somente se a ligação entre sistemas legados e reservas for justificada como premissa.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Este cenário será considerado quando a indisponibilidade das reservas comprometer o atendimento e atender a [critério de ativação definido pelo grupo].</w:t>
      </w:r>
    </w:p>
    <w:p>
      <w:pPr>
        <w:pStyle w:val="Orientação"/>
      </w:pPr>
      <w:r>
        <w:rPr>
          <w:b/>
        </w:rPr>
        <w:t xml:space="preserve">Alinhamento necessário: </w:t>
      </w:r>
      <w:r>
        <w:t>Isadora define a diretriz de backup; Higor o tratamento de R01; Gustavo a estratégia e os recursos. Backup offline não equivale a operação online alternativa pronta.</w:t>
      </w:r>
    </w:p>
    <w:p>
      <w:pPr>
        <w:pStyle w:val="Orientação"/>
      </w:pPr>
      <w:r>
        <w:rPr>
          <w:b/>
        </w:rPr>
        <w:t xml:space="preserve">PREMISSA ACADÊMICA: </w:t>
      </w:r>
      <w:r>
        <w:t>As ações abaixo são sugestões para o exercício. Recursos, responsáveis e critérios ainda dependem de validação; não representam procedimentos em uso na AeroLog.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386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type="dxa" w:w="5386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Ação inicial para adaptar</w:t>
            </w:r>
          </w:p>
        </w:tc>
        <w:tc>
          <w:tcPr>
            <w:tcW w:type="dxa" w:w="255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Completar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Identificar e acionar</w:t>
            </w:r>
          </w:p>
        </w:tc>
        <w:tc>
          <w:tcPr>
            <w:tcW w:type="dxa" w:w="538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Confirmar a indisponibilidade, registrar o alcance e comunicar as funções responsáveis.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Conter e continuar</w:t>
            </w:r>
          </w:p>
        </w:tc>
        <w:tc>
          <w:tcPr>
            <w:tcW w:type="dxa" w:w="538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Avaliar a causa e acionar a alternativa de serviço proposta; tratar o DDoS com a função técnica e o prestador pertinente.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Recuperar</w:t>
            </w:r>
          </w:p>
        </w:tc>
        <w:tc>
          <w:tcPr>
            <w:tcW w:type="dxa" w:w="538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Restaurar o serviço e, se necessário, os dados a partir de cópia verificada; registrar operações pendentes.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Validar e retornar</w:t>
            </w:r>
          </w:p>
        </w:tc>
        <w:tc>
          <w:tcPr>
            <w:tcW w:type="dxa" w:w="538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Conferir disponibilidade, integridade dos registros e pendências antes da autorização de retorno.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</w:tbl>
    <w:p>
      <w:pPr>
        <w:spacing w:after="20"/>
      </w:pPr>
    </w:p>
    <w:p>
      <w:pPr>
        <w:pStyle w:val="Campoeditável"/>
      </w:pPr>
      <w:r>
        <w:rPr>
          <w:b/>
        </w:rPr>
        <w:t xml:space="preserve">Completar pela equipe: </w:t>
      </w:r>
      <w:r>
        <w:t>[Critério de ativação; autoridade para decidir; recursos disponíveis ou propostos; condição de retorno; validação técnica e operacional; registros gerados.]</w:t>
      </w:r>
    </w:p>
    <w:p>
      <w:pPr>
        <w:pStyle w:val="Ttulo2"/>
        <w:pageBreakBefore/>
      </w:pPr>
      <w:r>
        <w:t>C02 — Comprometimento de sistema crítico ou embarcado</w:t>
      </w:r>
    </w:p>
    <w:p>
      <w:pPr>
        <w:pStyle w:val="Orientação"/>
      </w:pPr>
      <w:r>
        <w:rPr>
          <w:b/>
        </w:rPr>
        <w:t xml:space="preserve">Quem escreve: </w:t>
      </w:r>
      <w:r>
        <w:t>Gustavo</w:t>
      </w:r>
    </w:p>
    <w:p>
      <w:pPr>
        <w:pStyle w:val="Orientação"/>
      </w:pPr>
      <w:r>
        <w:rPr>
          <w:b/>
        </w:rPr>
        <w:t xml:space="preserve">Objetivo da seção: </w:t>
      </w:r>
      <w:r>
        <w:t>Descrever uma sequência compreensível de resposta, contingência, recuperação e retorno, com funções responsáveis e critérios de conclusão.</w:t>
      </w:r>
    </w:p>
    <w:p>
      <w:pPr>
        <w:pStyle w:val="Orientação"/>
      </w:pPr>
      <w:r>
        <w:rPr>
          <w:b/>
        </w:rPr>
        <w:t xml:space="preserve">O que escrever: </w:t>
      </w:r>
      <w:r>
        <w:t>Adapte as ações iniciais da tabela, defina quando o cenário será acionado e como verificar que o serviço pode retornar. Complete funções, recursos e critérios sem criar procedimentos técnicos de aeronave ou de voo.</w:t>
      </w:r>
    </w:p>
    <w:p>
      <w:pPr>
        <w:pStyle w:val="Orientação"/>
      </w:pPr>
      <w:r>
        <w:rPr>
          <w:b/>
        </w:rPr>
        <w:t xml:space="preserve">Fato do estudo de caso: </w:t>
      </w:r>
      <w:r>
        <w:t>Há sistemas críticos embarcados; o enunciado exige considerar seu comprometimento e procedimentos de isolamento.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ANAC, Portaria nº 9.459/STI, como exemplo de organização; Kit 3 do MGI; GOL para controles e continuidade de terceiros.</w:t>
      </w:r>
    </w:p>
    <w:p>
      <w:pPr>
        <w:pStyle w:val="Orientação"/>
      </w:pPr>
      <w:r>
        <w:rPr>
          <w:b/>
        </w:rPr>
        <w:t xml:space="preserve">Riscos relacionados: </w:t>
      </w:r>
      <w:r>
        <w:t>R05. Se a origem for suporte externo, coordenar também com R03/C03.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Este cenário será considerado diante de indícios de comprometimento de sistema crítico ou embarcado, sujeitos à avaliação das funções técnicas e operacionais competentes.</w:t>
      </w:r>
    </w:p>
    <w:p>
      <w:pPr>
        <w:pStyle w:val="Orientação"/>
      </w:pPr>
      <w:r>
        <w:rPr>
          <w:b/>
        </w:rPr>
        <w:t xml:space="preserve">Alinhamento necessário: </w:t>
      </w:r>
      <w:r>
        <w:t>Isadora orienta proteção de sistemas embarcados na PSI. Higor alinha o tratamento de R05. Este modelo não determina comandos, desconexões ou procedimentos de voo.</w:t>
      </w:r>
    </w:p>
    <w:p>
      <w:pPr>
        <w:pStyle w:val="Orientação"/>
      </w:pPr>
      <w:r>
        <w:rPr>
          <w:b/>
        </w:rPr>
        <w:t xml:space="preserve">PREMISSA ACADÊMICA: </w:t>
      </w:r>
      <w:r>
        <w:t>As ações abaixo são sugestões para o exercício. Recursos, responsáveis e critérios ainda dependem de validação; não representam procedimentos em uso na AeroLog.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386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type="dxa" w:w="5386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Ação inicial para adaptar</w:t>
            </w:r>
          </w:p>
        </w:tc>
        <w:tc>
          <w:tcPr>
            <w:tcW w:type="dxa" w:w="255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Completar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Identificar e acionar</w:t>
            </w:r>
          </w:p>
        </w:tc>
        <w:tc>
          <w:tcPr>
            <w:tcW w:type="dxa" w:w="538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Registrar o indício e envolver TI, funções técnicas e operacionais pertinentes e suporte autorizado.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Conter com segurança</w:t>
            </w:r>
          </w:p>
        </w:tc>
        <w:tc>
          <w:tcPr>
            <w:tcW w:type="dxa" w:w="538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Definir restrições de acesso e eventual isolamento conforme procedimentos autorizados e avaliação da segurança operacional.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Recuperar integridade</w:t>
            </w:r>
          </w:p>
        </w:tc>
        <w:tc>
          <w:tcPr>
            <w:tcW w:type="dxa" w:w="538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Planejar a recuperação ou substituição autorizada, verificar integridade e preservar registros relevantes.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Validar e retornar</w:t>
            </w:r>
          </w:p>
        </w:tc>
        <w:tc>
          <w:tcPr>
            <w:tcW w:type="dxa" w:w="538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Submeter a solução às validações técnicas e operacionais necessárias; registrar quem autorizou a retomada.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</w:tbl>
    <w:p>
      <w:pPr>
        <w:spacing w:after="20"/>
      </w:pPr>
    </w:p>
    <w:p>
      <w:pPr>
        <w:pStyle w:val="Campoeditável"/>
      </w:pPr>
      <w:r>
        <w:rPr>
          <w:b/>
        </w:rPr>
        <w:t xml:space="preserve">Completar pela equipe: </w:t>
      </w:r>
      <w:r>
        <w:t>[Critério de ativação; autoridade para decidir; recursos disponíveis ou propostos; condição de retorno; validação técnica e operacional; registros gerados.]</w:t>
      </w:r>
    </w:p>
    <w:p>
      <w:pPr>
        <w:pStyle w:val="Ttulo2"/>
        <w:pageBreakBefore/>
      </w:pPr>
      <w:r>
        <w:t>C03 — Comprometimento por fornecedor externo</w:t>
      </w:r>
    </w:p>
    <w:p>
      <w:pPr>
        <w:pStyle w:val="Orientação"/>
      </w:pPr>
      <w:r>
        <w:rPr>
          <w:b/>
        </w:rPr>
        <w:t xml:space="preserve">Quem escreve: </w:t>
      </w:r>
      <w:r>
        <w:t>Gustavo</w:t>
      </w:r>
    </w:p>
    <w:p>
      <w:pPr>
        <w:pStyle w:val="Orientação"/>
      </w:pPr>
      <w:r>
        <w:rPr>
          <w:b/>
        </w:rPr>
        <w:t xml:space="preserve">Objetivo da seção: </w:t>
      </w:r>
      <w:r>
        <w:t>Descrever uma sequência compreensível de resposta, contingência, recuperação e retorno, com funções responsáveis e critérios de conclusão.</w:t>
      </w:r>
    </w:p>
    <w:p>
      <w:pPr>
        <w:pStyle w:val="Orientação"/>
      </w:pPr>
      <w:r>
        <w:rPr>
          <w:b/>
        </w:rPr>
        <w:t xml:space="preserve">O que escrever: </w:t>
      </w:r>
      <w:r>
        <w:t>Adapte as ações iniciais da tabela, defina quando o cenário será acionado e como verificar que o serviço pode retornar. Complete funções, recursos e critérios sem criar procedimentos técnicos de aeronave ou de voo.</w:t>
      </w:r>
    </w:p>
    <w:p>
      <w:pPr>
        <w:pStyle w:val="Orientação"/>
      </w:pPr>
      <w:r>
        <w:rPr>
          <w:b/>
        </w:rPr>
        <w:t xml:space="preserve">Fato do estudo de caso: </w:t>
      </w:r>
      <w:r>
        <w:t>A AeroLog tem contratos internacionais de suporte de software de navegação; o enunciado apresenta esse suporte como possível via de comprometimento.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ANAC, Portaria nº 9.459/STI, como exemplo de organização; Kit 3 do MGI; GOL para controles e continuidade de terceiros.</w:t>
      </w:r>
    </w:p>
    <w:p>
      <w:pPr>
        <w:pStyle w:val="Orientação"/>
      </w:pPr>
      <w:r>
        <w:rPr>
          <w:b/>
        </w:rPr>
        <w:t xml:space="preserve">Riscos relacionados: </w:t>
      </w:r>
      <w:r>
        <w:t>R03; avaliar também R05 se o evento atingir sistemas embarcados.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Este cenário será considerado quando houver evidência ou suspeita fundamentada de comprometimento relacionado ao acesso de um fornecedor.</w:t>
      </w:r>
    </w:p>
    <w:p>
      <w:pPr>
        <w:pStyle w:val="Orientação"/>
      </w:pPr>
      <w:r>
        <w:rPr>
          <w:b/>
        </w:rPr>
        <w:t xml:space="preserve">Alinhamento necessário: </w:t>
      </w:r>
      <w:r>
        <w:t>Arthur define requisitos de acesso remoto e contratos; Higor trata R03; Isadora alinha incidentes e sistemas embarcados.</w:t>
      </w:r>
    </w:p>
    <w:p>
      <w:pPr>
        <w:pStyle w:val="Orientação"/>
      </w:pPr>
      <w:r>
        <w:rPr>
          <w:b/>
        </w:rPr>
        <w:t xml:space="preserve">PREMISSA ACADÊMICA: </w:t>
      </w:r>
      <w:r>
        <w:t>As ações abaixo são sugestões para o exercício. Recursos, responsáveis e critérios ainda dependem de validação; não representam procedimentos em uso na AeroLog.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386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type="dxa" w:w="5386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Ação inicial para adaptar</w:t>
            </w:r>
          </w:p>
        </w:tc>
        <w:tc>
          <w:tcPr>
            <w:tcW w:type="dxa" w:w="255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Completar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Identificar e acionar</w:t>
            </w:r>
          </w:p>
        </w:tc>
        <w:tc>
          <w:tcPr>
            <w:tcW w:type="dxa" w:w="538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Registrar o evento, identificar o serviço e envolver as funções responsáveis pelo contrato e pelo sistema.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Conter acesso</w:t>
            </w:r>
          </w:p>
        </w:tc>
        <w:tc>
          <w:tcPr>
            <w:tcW w:type="dxa" w:w="538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Avaliar suspensão ou restrição do acesso afetado, preservando registros e observando o impacto sobre o suporte crítico.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Recuperar</w:t>
            </w:r>
          </w:p>
        </w:tc>
        <w:tc>
          <w:tcPr>
            <w:tcW w:type="dxa" w:w="538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Analisar o alcance, revisar credenciais e recuperar os sistemas conforme o tratamento técnico autorizado.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Restabelecer suporte</w:t>
            </w:r>
          </w:p>
        </w:tc>
        <w:tc>
          <w:tcPr>
            <w:tcW w:type="dxa" w:w="538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Validar a correção, reautorizar apenas os acessos necessários e registrar condições de acompanhamento.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</w:tbl>
    <w:p>
      <w:pPr>
        <w:spacing w:after="20"/>
      </w:pPr>
    </w:p>
    <w:p>
      <w:pPr>
        <w:pStyle w:val="Campoeditável"/>
      </w:pPr>
      <w:r>
        <w:rPr>
          <w:b/>
        </w:rPr>
        <w:t xml:space="preserve">Completar pela equipe: </w:t>
      </w:r>
      <w:r>
        <w:t>[Critério de ativação; autoridade para decidir; recursos disponíveis ou propostos; condição de retorno; validação técnica e operacional; registros gerados.]</w:t>
      </w:r>
    </w:p>
    <w:p>
      <w:pPr>
        <w:pStyle w:val="Ttulo2"/>
        <w:pageBreakBefore/>
      </w:pPr>
      <w:r>
        <w:t>C04 — Incidente cibernético de grande impacto</w:t>
      </w:r>
    </w:p>
    <w:p>
      <w:pPr>
        <w:pStyle w:val="Orientação"/>
      </w:pPr>
      <w:r>
        <w:rPr>
          <w:b/>
        </w:rPr>
        <w:t xml:space="preserve">Quem escreve: </w:t>
      </w:r>
      <w:r>
        <w:t>Sabrina</w:t>
      </w:r>
    </w:p>
    <w:p>
      <w:pPr>
        <w:pStyle w:val="Orientação"/>
      </w:pPr>
      <w:r>
        <w:rPr>
          <w:b/>
        </w:rPr>
        <w:t xml:space="preserve">Objetivo da seção: </w:t>
      </w:r>
      <w:r>
        <w:t>Descrever uma sequência compreensível de resposta, contingência, recuperação e retorno, com funções responsáveis e critérios de conclusão.</w:t>
      </w:r>
    </w:p>
    <w:p>
      <w:pPr>
        <w:pStyle w:val="Orientação"/>
      </w:pPr>
      <w:r>
        <w:rPr>
          <w:b/>
        </w:rPr>
        <w:t xml:space="preserve">O que escrever: </w:t>
      </w:r>
      <w:r>
        <w:t>Adapte as ações iniciais da tabela, defina quando o cenário será acionado e como verificar que o serviço pode retornar. Complete funções, recursos e critérios sem criar procedimentos técnicos de aeronave ou de voo.</w:t>
      </w:r>
    </w:p>
    <w:p>
      <w:pPr>
        <w:pStyle w:val="Orientação"/>
      </w:pPr>
      <w:r>
        <w:rPr>
          <w:b/>
        </w:rPr>
        <w:t xml:space="preserve">Fato do estudo de caso: </w:t>
      </w:r>
      <w:r>
        <w:t>O caso apresenta ameaças cibernéticas e exige continuidade de operações críticas. Não relata um incidente histórico de comprometimento simultâneo ou ransomware.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ANAC, Portaria nº 9.459/STI, como exemplo de organização; Kit 3 do MGI; GOL para controles e continuidade de terceiros.</w:t>
      </w:r>
    </w:p>
    <w:p>
      <w:pPr>
        <w:pStyle w:val="Orientação"/>
      </w:pPr>
      <w:r>
        <w:rPr>
          <w:b/>
        </w:rPr>
        <w:t xml:space="preserve">Riscos relacionados: </w:t>
      </w:r>
      <w:r>
        <w:t>R01, R03 e/ou R05, conforme o alcance escolhido. Confirmar os IDs com Caio; risco novo exige atualização da PGR.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Como hipótese acadêmica, este cenário considera um incidente cibernético com indisponibilidade prolongada ou efeitos em vários serviços críticos, além da capacidade de resposta de um cenário isolado.</w:t>
      </w:r>
    </w:p>
    <w:p>
      <w:pPr>
        <w:pStyle w:val="Orientação"/>
      </w:pPr>
      <w:r>
        <w:rPr>
          <w:b/>
        </w:rPr>
        <w:t xml:space="preserve">Alinhamento necessário: </w:t>
      </w:r>
      <w:r>
        <w:t>Gustavo fornece estratégias e comunicação; Higor verifica tratamentos; Arthur e Isadora confirmam regras da PSI. O alcance escolhido deve ser igual no PCN e na PGR.</w:t>
      </w:r>
    </w:p>
    <w:p>
      <w:pPr>
        <w:pStyle w:val="Orientação"/>
      </w:pPr>
      <w:r>
        <w:rPr>
          <w:b/>
        </w:rPr>
        <w:t xml:space="preserve">PREMISSA ACADÊMICA: </w:t>
      </w:r>
      <w:r>
        <w:t>As ações abaixo são sugestões para o exercício. Recursos, responsáveis e critérios ainda dependem de validação; não representam procedimentos em uso na AeroLog.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386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type="dxa" w:w="5386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Ação inicial para adaptar</w:t>
            </w:r>
          </w:p>
        </w:tc>
        <w:tc>
          <w:tcPr>
            <w:tcW w:type="dxa" w:w="255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Completar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Dimensionar e coordenar</w:t>
            </w:r>
          </w:p>
        </w:tc>
        <w:tc>
          <w:tcPr>
            <w:tcW w:type="dxa" w:w="538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Avaliar sistemas e processos afetados, relacionar os riscos e ativar a coordenação definida na seção 7.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Conter e priorizar</w:t>
            </w:r>
          </w:p>
        </w:tc>
        <w:tc>
          <w:tcPr>
            <w:tcW w:type="dxa" w:w="538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Restringir os efeitos conforme avaliação técnica, preservar evidências e aplicar prioridades da seção 3.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Continuar e recuperar</w:t>
            </w:r>
          </w:p>
        </w:tc>
        <w:tc>
          <w:tcPr>
            <w:tcW w:type="dxa" w:w="538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Usar as alternativas previstas e cópias verificadas quando necessárias, recuperando recursos e serviços por dependência.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Validar e comunicar</w:t>
            </w:r>
          </w:p>
        </w:tc>
        <w:tc>
          <w:tcPr>
            <w:tcW w:type="dxa" w:w="538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Verificar integridade e condições operacionais; comunicar a evolução; autorizar o retorno e registrar lições aprendidas.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/ recurso / critério]</w:t>
            </w:r>
          </w:p>
        </w:tc>
      </w:tr>
    </w:tbl>
    <w:p>
      <w:pPr>
        <w:spacing w:after="20"/>
      </w:pPr>
    </w:p>
    <w:p>
      <w:pPr>
        <w:pStyle w:val="Campoeditável"/>
      </w:pPr>
      <w:r>
        <w:rPr>
          <w:b/>
        </w:rPr>
        <w:t xml:space="preserve">Completar pela equipe: </w:t>
      </w:r>
      <w:r>
        <w:t>[Critério de ativação; autoridade para decidir; recursos disponíveis ou propostos; condição de retorno; validação técnica e operacional; registros gerados.]</w:t>
      </w:r>
    </w:p>
    <w:p>
      <w:pPr>
        <w:pStyle w:val="Ttulo1"/>
        <w:pageBreakBefore/>
      </w:pPr>
      <w:r>
        <w:t>6. Comunicação</w:t>
      </w:r>
    </w:p>
    <w:p>
      <w:pPr>
        <w:pStyle w:val="Orientação"/>
      </w:pPr>
      <w:r>
        <w:rPr>
          <w:b/>
        </w:rPr>
        <w:t xml:space="preserve">Quem escreve: </w:t>
      </w:r>
      <w:r>
        <w:t>Gustavo</w:t>
      </w:r>
    </w:p>
    <w:p>
      <w:pPr>
        <w:pStyle w:val="Orientação"/>
      </w:pPr>
      <w:r>
        <w:rPr>
          <w:b/>
        </w:rPr>
        <w:t xml:space="preserve">Objetivo da seção: </w:t>
      </w:r>
      <w:r>
        <w:t>Definir quem comunica o quê, para quem e por qual canal.</w:t>
      </w:r>
    </w:p>
    <w:p>
      <w:pPr>
        <w:pStyle w:val="Orientação"/>
      </w:pPr>
      <w:r>
        <w:rPr>
          <w:b/>
        </w:rPr>
        <w:t xml:space="preserve">O que escrever: </w:t>
      </w:r>
      <w:r>
        <w:t>Organize comunicação interna, passageiros quando afetados, fornecedores e autoridades aplicáveis. Separe relato interno de incidente de comunicação externa. Use funções e campos de contato; não invente telefones, e-mails ou prazos regulatórios.</w:t>
      </w:r>
    </w:p>
    <w:p>
      <w:pPr>
        <w:pStyle w:val="Orientação"/>
      </w:pPr>
      <w:r>
        <w:rPr>
          <w:b/>
        </w:rPr>
        <w:t xml:space="preserve">Fato do estudo de caso: </w:t>
      </w:r>
      <w:r>
        <w:t>O enunciado exige considerar ANAC e DECEA e informa transporte de passageiros e suporte internacional.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ANAC, como exemplo de responsabilidades de continuidade; LGPD para incidentes com dados pessoais; GOL para comunicação com terceiros.</w:t>
      </w:r>
    </w:p>
    <w:p>
      <w:pPr>
        <w:pStyle w:val="Orientação"/>
      </w:pPr>
      <w:r>
        <w:rPr>
          <w:b/>
        </w:rPr>
        <w:t xml:space="preserve">Alinhamento necessário: </w:t>
      </w:r>
      <w:r>
        <w:t>Isadora define relato de incidentes na PSI; Sabrina informa alcance e prioridade; a função que aprova mensagens deve coincidir com a seção 7.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A comunicação durante a contingência será coordenada por [função], com informações verificadas sobre alcance, medidas em andamento e condições de retomada.</w:t>
      </w:r>
    </w:p>
    <w:p>
      <w:pPr>
        <w:pStyle w:val="Campoeditável"/>
      </w:pPr>
      <w:r>
        <w:rPr>
          <w:b/>
        </w:rPr>
        <w:t xml:space="preserve">Completar pela equipe: </w:t>
      </w:r>
      <w:r>
        <w:t>[Definir canal principal, alternativa, responsável e condição de cada comunicação.]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762"/>
        <w:gridCol w:w="2551"/>
      </w:tblGrid>
      <w:tr>
        <w:trPr>
          <w:cantSplit/>
          <w:tblHeader/>
        </w:trPr>
        <w:tc>
          <w:tcPr>
            <w:tcW w:type="dxa" w:w="2324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Destinatário</w:t>
            </w:r>
          </w:p>
        </w:tc>
        <w:tc>
          <w:tcPr>
            <w:tcW w:type="dxa" w:w="4762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Conteúdo / condição</w:t>
            </w:r>
          </w:p>
        </w:tc>
        <w:tc>
          <w:tcPr>
            <w:tcW w:type="dxa" w:w="255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Responsável e canal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TI, gestores e funções operacionais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Serviços afetados, início do evento, restrições, prioridades e decisões necessárias.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[preencher]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Passageiros, quando afetados</w:t>
            </w:r>
          </w:p>
        </w:tc>
        <w:tc>
          <w:tcPr>
            <w:tcW w:type="dxa" w:w="476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Informação confirmada sobre o serviço e orientações aprovadas para atendimento.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[preencher]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Fornecedores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Solicitação de suporte, evidências pertinentes e condições de acesso autorizado.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[preencher]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ANAC e DECEA</w:t>
            </w:r>
          </w:p>
        </w:tc>
        <w:tc>
          <w:tcPr>
            <w:tcW w:type="dxa" w:w="476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Comunicação conforme a situação e os requisitos aplicáveis, a verificar em fonte oficial.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[preencher]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ANPD e titulares, quando aplicável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Avaliar obrigações de comunicação de incidente com dados pessoais e regulamentação vigente.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[preencher]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Mensagem inicial a adaptar: </w:t>
      </w:r>
      <w:r>
        <w:t>“Foi identificada uma interrupção em [serviço], às [horário]. O impacto confirmado é [descrição]. A função [responsável] coordena [medidas]. A próxima atualização está prevista para [momento definido].”</w:t>
      </w:r>
    </w:p>
    <w:p>
      <w:pPr>
        <w:pStyle w:val="Campoeditável"/>
      </w:pPr>
      <w:r>
        <w:rPr>
          <w:b/>
        </w:rPr>
        <w:t xml:space="preserve">Prazos e contatos: </w:t>
      </w:r>
      <w:r>
        <w:t>[Verificar fontes oficiais quando houver obrigação externa. A frequência de atualização interna pode ser premissa acadêmica; o prazo legal não pode ser inventado.]</w:t>
      </w:r>
    </w:p>
    <w:p>
      <w:pPr>
        <w:pStyle w:val="Ttulo1"/>
        <w:pageBreakBefore/>
      </w:pPr>
      <w:r>
        <w:t>7. Papéis e Responsabilidades</w:t>
      </w:r>
    </w:p>
    <w:p>
      <w:pPr>
        <w:pStyle w:val="Orientação"/>
      </w:pPr>
      <w:r>
        <w:rPr>
          <w:b/>
        </w:rPr>
        <w:t xml:space="preserve">Quem escreve: </w:t>
      </w:r>
      <w:r>
        <w:t>Gustavo</w:t>
      </w:r>
    </w:p>
    <w:p>
      <w:pPr>
        <w:pStyle w:val="Orientação"/>
      </w:pPr>
      <w:r>
        <w:rPr>
          <w:b/>
        </w:rPr>
        <w:t xml:space="preserve">Objetivo da seção: </w:t>
      </w:r>
      <w:r>
        <w:t>Indicar quem decide, executa, comunica e autoriza o retorno.</w:t>
      </w:r>
    </w:p>
    <w:p>
      <w:pPr>
        <w:pStyle w:val="Orientação"/>
      </w:pPr>
      <w:r>
        <w:rPr>
          <w:b/>
        </w:rPr>
        <w:t xml:space="preserve">O que escrever: </w:t>
      </w:r>
      <w:r>
        <w:t>Confirme as funções com Arthur, Isadora e Higor. Não é necessário criar um comitê complexo. Atribua coordenação, decisão operacional, recuperação técnica, comunicação e validação da retomada.</w:t>
      </w:r>
    </w:p>
    <w:p>
      <w:pPr>
        <w:pStyle w:val="Orientação"/>
      </w:pPr>
      <w:r>
        <w:rPr>
          <w:b/>
        </w:rPr>
        <w:t xml:space="preserve">Fato do estudo de caso: </w:t>
      </w:r>
      <w:r>
        <w:t>O caso informa TI interna, pilotos, engenheiros aeronáuticos, manutenção, equipe administrativa e fornecedores, mas não descreve um organograma de crise.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ANAC, funções para ativação e retorno; Kit 3 do MGI.</w:t>
      </w:r>
    </w:p>
    <w:p>
      <w:pPr>
        <w:pStyle w:val="Orientação"/>
      </w:pPr>
      <w:r>
        <w:rPr>
          <w:b/>
        </w:rPr>
        <w:t xml:space="preserve">Alinhamento necessário: </w:t>
      </w:r>
      <w:r>
        <w:t>Usar os mesmos nomes de funções da PSI e da PGR. Gustavo é o autor acadêmico, não o responsável operacional da AeroLog.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A execução do PCN deverá ser coordenada por [função], com atribuições técnicas e operacionais definidas e registradas antes da ativação.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[Confirmar as funções propostas, os limites de decisão e os contatos de referência.]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969"/>
        <w:gridCol w:w="3402"/>
      </w:tblGrid>
      <w:tr>
        <w:trPr>
          <w:cantSplit/>
          <w:tblHeader/>
        </w:trPr>
        <w:tc>
          <w:tcPr>
            <w:tcW w:type="dxa" w:w="226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Ação</w:t>
            </w:r>
          </w:p>
        </w:tc>
        <w:tc>
          <w:tcPr>
            <w:tcW w:type="dxa" w:w="3969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Função proposta a confirmar</w:t>
            </w:r>
          </w:p>
        </w:tc>
        <w:tc>
          <w:tcPr>
            <w:tcW w:type="dxa" w:w="3402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Decisão a registrar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Ativar e coordenar o PCN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designada pela Alta Administração]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[Critério e autoridade de ativação.]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Decidir sobre a operação</w:t>
            </w:r>
          </w:p>
        </w:tc>
        <w:tc>
          <w:tcPr>
            <w:tcW w:type="dxa" w:w="396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[Gestor / função operacional competente]</w:t>
            </w:r>
          </w:p>
        </w:tc>
        <w:tc>
          <w:tcPr>
            <w:tcW w:type="dxa" w:w="340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[Atividades permitidas, restritas e condições de retomada.]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Recuperar tecnicamente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[TI e funções técnicas competentes; suporte autorizado]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[Intervenções, validações e evidências.]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Comunicar</w:t>
            </w:r>
          </w:p>
        </w:tc>
        <w:tc>
          <w:tcPr>
            <w:tcW w:type="dxa" w:w="396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[Função designada para comunicação]</w:t>
            </w:r>
          </w:p>
        </w:tc>
        <w:tc>
          <w:tcPr>
            <w:tcW w:type="dxa" w:w="340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[Destinatários, conteúdo aprovado e canais.]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Autorizar retorno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[Funções técnicas e operacionais definidas]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[Verificações mínimas e registro da autorização.]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PREMISSA ACADÊMICA: </w:t>
      </w:r>
      <w:r>
        <w:t>Os papéis acima são uma proposta de organização. As funções reais e seus limites não foram detalhados pelo caso. Um único papel pode acumular atribuições se o grupo justificar e evitar conflitos de decisão.</w:t>
      </w:r>
    </w:p>
    <w:p>
      <w:pPr>
        <w:pStyle w:val="Ttulo1"/>
        <w:pageBreakBefore/>
      </w:pPr>
      <w:r>
        <w:t>8. Testes e Revisão</w:t>
      </w:r>
    </w:p>
    <w:p>
      <w:pPr>
        <w:pStyle w:val="Orientação"/>
      </w:pPr>
      <w:r>
        <w:rPr>
          <w:b/>
        </w:rPr>
        <w:t xml:space="preserve">Quem escreve: </w:t>
      </w:r>
      <w:r>
        <w:t>Gustavo</w:t>
      </w:r>
    </w:p>
    <w:p>
      <w:pPr>
        <w:pStyle w:val="Orientação"/>
      </w:pPr>
      <w:r>
        <w:rPr>
          <w:b/>
        </w:rPr>
        <w:t xml:space="preserve">Objetivo da seção: </w:t>
      </w:r>
      <w:r>
        <w:t>Verificar se o plano pode funcionar e mantê-lo atualizado.</w:t>
      </w:r>
    </w:p>
    <w:p>
      <w:pPr>
        <w:pStyle w:val="Orientação"/>
      </w:pPr>
      <w:r>
        <w:rPr>
          <w:b/>
        </w:rPr>
        <w:t xml:space="preserve">O que escrever: </w:t>
      </w:r>
      <w:r>
        <w:t>Preveja simulações e testes de recuperação proporcionais à atividade. Para cada teste, indique objetivo, cenário, função responsável, frequência e resultado esperado. Revise o plano após incidentes, testes ou mudanças relevantes.</w:t>
      </w:r>
    </w:p>
    <w:p>
      <w:pPr>
        <w:pStyle w:val="Orientação"/>
      </w:pPr>
      <w:r>
        <w:rPr>
          <w:b/>
        </w:rPr>
        <w:t xml:space="preserve">Fato do estudo de caso: </w:t>
      </w:r>
      <w:r>
        <w:t>O PDF não informa testes anteriores nem periodicidade de continuidade. O último treinamento de cibersegurança ocorreu há quatro anos; isso não comprova ausência de qualquer exercício de continuidade.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ANAC, exercícios e atualização; Kit 3 do MGI; GOL, testes de recuperação e continuidade.</w:t>
      </w:r>
    </w:p>
    <w:p>
      <w:pPr>
        <w:pStyle w:val="Orientação"/>
      </w:pPr>
      <w:r>
        <w:rPr>
          <w:b/>
        </w:rPr>
        <w:t xml:space="preserve">Alinhamento necessário: </w:t>
      </w:r>
      <w:r>
        <w:t>Isadora alinha treinamento e backups; Sabrina revê impactos; Caio e Higor revisam riscos e tratamentos conforme os resultados.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O PCN deverá ser avaliado periodicamente por exercícios e testes planejados, com registro dos resultados, das falhas encontradas e das ações de melhoria.</w:t>
      </w:r>
    </w:p>
    <w:p>
      <w:pPr>
        <w:pStyle w:val="Campoeditável"/>
      </w:pPr>
      <w:r>
        <w:rPr>
          <w:b/>
        </w:rPr>
        <w:t xml:space="preserve">Completar pela equipe: </w:t>
      </w:r>
      <w:r>
        <w:t>[Definir periodicidade proposta, responsáveis, evidências e critérios de aprovação dos testes.]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4762"/>
        <w:gridCol w:w="2494"/>
      </w:tblGrid>
      <w:tr>
        <w:trPr>
          <w:cantSplit/>
          <w:tblHeader/>
        </w:trPr>
        <w:tc>
          <w:tcPr>
            <w:tcW w:type="dxa" w:w="238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Exercício proposto</w:t>
            </w:r>
          </w:p>
        </w:tc>
        <w:tc>
          <w:tcPr>
            <w:tcW w:type="dxa" w:w="4762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Objetivo / cenário</w:t>
            </w:r>
          </w:p>
        </w:tc>
        <w:tc>
          <w:tcPr>
            <w:tcW w:type="dxa" w:w="2494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Completar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Simulação de mesa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Percorrer C01 a C04 e conferir decisões, contatos e dependências, sem interromper operações.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[Responsável, frequência e critério.]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Teste de restauração em ambiente apropriado</w:t>
            </w:r>
          </w:p>
        </w:tc>
        <w:tc>
          <w:tcPr>
            <w:tcW w:type="dxa" w:w="476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Verificar uma cópia, restaurar dados de teste e conferir integridade.</w:t>
            </w:r>
          </w:p>
        </w:tc>
        <w:tc>
          <w:tcPr>
            <w:tcW w:type="dxa" w:w="249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[Recurso proposto, responsável e evidência.]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Teste de comunicação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Verificar acionamento interno e alternativa quando o canal principal falhar.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[Canal, participantes e resultado.]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Revisão após evento ou mudança</w:t>
            </w:r>
          </w:p>
        </w:tc>
        <w:tc>
          <w:tcPr>
            <w:tcW w:type="dxa" w:w="476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Atualizar cenários, prioridades e recursos e comunicar mudanças às outras duplas.</w:t>
            </w:r>
          </w:p>
        </w:tc>
        <w:tc>
          <w:tcPr>
            <w:tcW w:type="dxa" w:w="249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[Gatilho, responsável e registro.]</w:t>
            </w:r>
          </w:p>
        </w:tc>
      </w:tr>
    </w:tbl>
    <w:p>
      <w:pPr>
        <w:spacing w:after="20"/>
      </w:pPr>
    </w:p>
    <w:p>
      <w:pPr>
        <w:pStyle w:val="Campoeditável"/>
      </w:pPr>
      <w:r>
        <w:rPr>
          <w:b/>
        </w:rPr>
        <w:t xml:space="preserve">Registro do resultado: </w:t>
      </w:r>
      <w:r>
        <w:t>[Data | teste | cenário | resultado | falha encontrada | ação corretiva | função responsável | próxima verificação]. Resultados simulados devem ser identificados como acadêmicos.</w:t>
      </w:r>
    </w:p>
    <w:p>
      <w:pPr>
        <w:pStyle w:val="Orientação"/>
        <w:pageBreakBefore/>
      </w:pPr>
      <w:r>
        <w:rPr>
          <w:b/>
        </w:rPr>
        <w:t xml:space="preserve">Referências de apoio à elaboração </w:t>
      </w:r>
      <w:r/>
    </w:p>
    <w:p>
      <w:pPr>
        <w:pStyle w:val="Orientação"/>
      </w:pPr>
      <w:r>
        <w:rPr>
          <w:b/>
        </w:rPr>
        <w:t xml:space="preserve">Base principal: </w:t>
      </w:r>
      <w:r>
        <w:t>08 - AeroLog Transportes Aéreos.pdf e guia_elaboracao_PSI_PGR_PCN_AeroLog.md. O TAP enviado foi utilizado apenas para a identificação acadêmica e o logotipo.</w:t>
      </w:r>
    </w:p>
    <w:p>
      <w:pPr>
        <w:pStyle w:val="Orientação"/>
      </w:pPr>
      <w:r>
        <w:rPr>
          <w:b/>
        </w:rPr>
        <w:t xml:space="preserve">Consulta das fontes externas: </w:t>
      </w:r>
      <w:r>
        <w:t>Documentos consultados na pesquisa de 07 e 08/10/2026. A equipe deve conservar as fontes efetivamente usadas na versão final.</w:t>
      </w:r>
    </w:p>
    <w:p>
      <w:pPr>
        <w:pStyle w:val="Fonte"/>
      </w:pPr>
      <w:hyperlink r:id="rId18">
        <w:r>
          <w:rPr>
            <w:color w:val="234E70"/>
            <w:u w:val="single"/>
          </w:rPr>
          <w:t>ANAC — Portaria nº 9.459/STI de 6 de outubro de 2022</w:t>
        </w:r>
      </w:hyperlink>
    </w:p>
    <w:p>
      <w:pPr>
        <w:pStyle w:val="Fonte"/>
      </w:pPr>
      <w:r>
        <w:t>Apoio para criticidade, ativação, recuperação e testes. Trata da gestão interna de TI da ANAC; não é apresentada como obrigação automática de uma companhia aérea.</w:t>
      </w:r>
    </w:p>
    <w:p>
      <w:pPr>
        <w:pStyle w:val="Fonte"/>
      </w:pPr>
      <w:hyperlink r:id="rId19">
        <w:r>
          <w:rPr>
            <w:color w:val="234E70"/>
            <w:u w:val="single"/>
          </w:rPr>
          <w:t>Kit 3 — Gerenciamento da Continuidade dos Serviços</w:t>
        </w:r>
      </w:hyperlink>
    </w:p>
    <w:p>
      <w:pPr>
        <w:pStyle w:val="Fonte"/>
      </w:pPr>
      <w:r>
        <w:t>SEST / Ministério do Planejamento / UnB, 2018, disponível no portal do MGI. Apoio para recursos, atividades, responsáveis e manutenção da continuidade.</w:t>
      </w:r>
    </w:p>
    <w:p>
      <w:pPr>
        <w:pStyle w:val="Fonte"/>
      </w:pPr>
      <w:hyperlink r:id="rId20">
        <w:r>
          <w:rPr>
            <w:color w:val="234E70"/>
            <w:u w:val="single"/>
          </w:rPr>
          <w:t>GOL — Política de Segurança da Informação para Terceiros</w:t>
        </w:r>
      </w:hyperlink>
    </w:p>
    <w:p>
      <w:pPr>
        <w:pStyle w:val="Fonte"/>
      </w:pPr>
      <w:r>
        <w:t>Revisão 01, 12/06/2025. Apoio para fornecedores, acesso, registros, backup e continuidade. Não copiar prazos contratuais para a AeroLog.</w:t>
      </w:r>
    </w:p>
    <w:p>
      <w:pPr>
        <w:pStyle w:val="Fonte"/>
      </w:pPr>
      <w:hyperlink r:id="rId21">
        <w:r>
          <w:rPr>
            <w:color w:val="234E70"/>
            <w:u w:val="single"/>
          </w:rPr>
          <w:t>LGPD — Lei nº 13.709/2018</w:t>
        </w:r>
      </w:hyperlink>
    </w:p>
    <w:p>
      <w:pPr>
        <w:pStyle w:val="Fonte"/>
      </w:pPr>
      <w:r>
        <w:t>Texto oficial. Apoio para proteção de dados e comunicação de incidentes; verificar regulamentação específica antes de preencher prazos legais.</w:t>
      </w:r>
    </w:p>
    <w:p>
      <w:pPr>
        <w:pStyle w:val="Orientação"/>
      </w:pPr>
      <w:r>
        <w:rPr>
          <w:b/>
        </w:rPr>
        <w:t xml:space="preserve">Conferência conjunta: </w:t>
      </w:r>
      <w:r>
        <w:t>Verificar nomes de sistemas, funções organizacionais, riscos e cenários. Toda alteração de ID deve ser comunicada por Caio a Arthur, Isadora, Higor, Sabrina e Gustavo.</w:t>
      </w:r>
    </w:p>
    <w:p>
      <w:pPr>
        <w:pStyle w:val="Campoeditável"/>
      </w:pPr>
      <w:r>
        <w:rPr>
          <w:b/>
        </w:rPr>
        <w:t xml:space="preserve">Registro de premissas: </w:t>
      </w:r>
      <w:r>
        <w:t>[Listar as escolhas aprovadas, os documentos afetados e a justificativa. Não registrar medidas propostas como controles existentes.]</w:t>
      </w:r>
    </w:p>
    <w:sectPr w:rsidR="006D38E7">
      <w:footerReference w:type="default" r:id="rId16"/>
      <w:headerReference w:type="default" r:id="rId17"/>
      <w:pgSz w:w="11906" w:h="16838"/>
      <w:pgMar w:top="1020" w:right="1134" w:bottom="1020" w:left="1134" w:header="397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A0316" w14:textId="77777777" w:rsidR="00E21A43" w:rsidRDefault="00E21A43">
      <w:r>
        <w:separator/>
      </w:r>
    </w:p>
  </w:endnote>
  <w:endnote w:type="continuationSeparator" w:id="0">
    <w:p w14:paraId="6BB6563D" w14:textId="77777777" w:rsidR="00E21A43" w:rsidRDefault="00E21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 MT"/>
    <w:charset w:val="01"/>
    <w:family w:val="swiss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AeroLog | PCN | Modelo base |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D61F4" w14:textId="77777777" w:rsidR="00E21A43" w:rsidRDefault="00E21A43">
      <w:r>
        <w:separator/>
      </w:r>
    </w:p>
  </w:footnote>
  <w:footnote w:type="continuationSeparator" w:id="0">
    <w:p w14:paraId="0633638B" w14:textId="77777777" w:rsidR="00E21A43" w:rsidRDefault="00E21A4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8F6"/>
    <w:multiLevelType w:val="hybridMultilevel"/>
    <w:tmpl w:val="FFFFFFFF"/>
    <w:lvl w:ilvl="0" w:tplc="59D84E7C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68C93CA">
      <w:numFmt w:val="bullet"/>
      <w:lvlText w:val="•"/>
      <w:lvlJc w:val="left"/>
      <w:pPr>
        <w:ind w:left="1216" w:hanging="361"/>
      </w:pPr>
      <w:rPr>
        <w:rFonts w:hint="default"/>
        <w:lang w:val="pt-PT" w:eastAsia="en-US" w:bidi="ar-SA"/>
      </w:rPr>
    </w:lvl>
    <w:lvl w:ilvl="2" w:tplc="2DC440F4">
      <w:numFmt w:val="bullet"/>
      <w:lvlText w:val="•"/>
      <w:lvlJc w:val="left"/>
      <w:pPr>
        <w:ind w:left="1592" w:hanging="361"/>
      </w:pPr>
      <w:rPr>
        <w:rFonts w:hint="default"/>
        <w:lang w:val="pt-PT" w:eastAsia="en-US" w:bidi="ar-SA"/>
      </w:rPr>
    </w:lvl>
    <w:lvl w:ilvl="3" w:tplc="61DC920A">
      <w:numFmt w:val="bullet"/>
      <w:lvlText w:val="•"/>
      <w:lvlJc w:val="left"/>
      <w:pPr>
        <w:ind w:left="1968" w:hanging="361"/>
      </w:pPr>
      <w:rPr>
        <w:rFonts w:hint="default"/>
        <w:lang w:val="pt-PT" w:eastAsia="en-US" w:bidi="ar-SA"/>
      </w:rPr>
    </w:lvl>
    <w:lvl w:ilvl="4" w:tplc="2584A4F4">
      <w:numFmt w:val="bullet"/>
      <w:lvlText w:val="•"/>
      <w:lvlJc w:val="left"/>
      <w:pPr>
        <w:ind w:left="2344" w:hanging="361"/>
      </w:pPr>
      <w:rPr>
        <w:rFonts w:hint="default"/>
        <w:lang w:val="pt-PT" w:eastAsia="en-US" w:bidi="ar-SA"/>
      </w:rPr>
    </w:lvl>
    <w:lvl w:ilvl="5" w:tplc="94EA7778">
      <w:numFmt w:val="bullet"/>
      <w:lvlText w:val="•"/>
      <w:lvlJc w:val="left"/>
      <w:pPr>
        <w:ind w:left="2721" w:hanging="361"/>
      </w:pPr>
      <w:rPr>
        <w:rFonts w:hint="default"/>
        <w:lang w:val="pt-PT" w:eastAsia="en-US" w:bidi="ar-SA"/>
      </w:rPr>
    </w:lvl>
    <w:lvl w:ilvl="6" w:tplc="A93AA7EE">
      <w:numFmt w:val="bullet"/>
      <w:lvlText w:val="•"/>
      <w:lvlJc w:val="left"/>
      <w:pPr>
        <w:ind w:left="3097" w:hanging="361"/>
      </w:pPr>
      <w:rPr>
        <w:rFonts w:hint="default"/>
        <w:lang w:val="pt-PT" w:eastAsia="en-US" w:bidi="ar-SA"/>
      </w:rPr>
    </w:lvl>
    <w:lvl w:ilvl="7" w:tplc="BE58B188">
      <w:numFmt w:val="bullet"/>
      <w:lvlText w:val="•"/>
      <w:lvlJc w:val="left"/>
      <w:pPr>
        <w:ind w:left="3473" w:hanging="361"/>
      </w:pPr>
      <w:rPr>
        <w:rFonts w:hint="default"/>
        <w:lang w:val="pt-PT" w:eastAsia="en-US" w:bidi="ar-SA"/>
      </w:rPr>
    </w:lvl>
    <w:lvl w:ilvl="8" w:tplc="2DD25ECA">
      <w:numFmt w:val="bullet"/>
      <w:lvlText w:val="•"/>
      <w:lvlJc w:val="left"/>
      <w:pPr>
        <w:ind w:left="3849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2D3D35C4"/>
    <w:multiLevelType w:val="multilevel"/>
    <w:tmpl w:val="FFFFFFFF"/>
    <w:lvl w:ilvl="0">
      <w:start w:val="1"/>
      <w:numFmt w:val="decimal"/>
      <w:lvlText w:val="%1"/>
      <w:lvlJc w:val="left"/>
      <w:pPr>
        <w:ind w:left="373" w:hanging="23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80808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8" w:hanging="355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numFmt w:val="bullet"/>
      <w:lvlText w:val="•"/>
      <w:lvlJc w:val="left"/>
      <w:pPr>
        <w:ind w:left="1483" w:hanging="3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67" w:hanging="3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3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35" w:hanging="3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18" w:hanging="3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02" w:hanging="3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86" w:hanging="355"/>
      </w:pPr>
      <w:rPr>
        <w:rFonts w:hint="default"/>
        <w:lang w:val="pt-PT" w:eastAsia="en-US" w:bidi="ar-SA"/>
      </w:rPr>
    </w:lvl>
  </w:abstractNum>
  <w:abstractNum w:abstractNumId="2" w15:restartNumberingAfterBreak="0">
    <w:nsid w:val="37FA33A3"/>
    <w:multiLevelType w:val="hybridMultilevel"/>
    <w:tmpl w:val="FFFFFFFF"/>
    <w:lvl w:ilvl="0" w:tplc="783C1DC8">
      <w:numFmt w:val="bullet"/>
      <w:lvlText w:val=""/>
      <w:lvlJc w:val="left"/>
      <w:pPr>
        <w:ind w:left="86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2A40A78">
      <w:numFmt w:val="bullet"/>
      <w:lvlText w:val="•"/>
      <w:lvlJc w:val="left"/>
      <w:pPr>
        <w:ind w:left="1233" w:hanging="361"/>
      </w:pPr>
      <w:rPr>
        <w:rFonts w:hint="default"/>
        <w:lang w:val="pt-PT" w:eastAsia="en-US" w:bidi="ar-SA"/>
      </w:rPr>
    </w:lvl>
    <w:lvl w:ilvl="2" w:tplc="F6E2E478"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3" w:tplc="71D2ED18">
      <w:numFmt w:val="bullet"/>
      <w:lvlText w:val="•"/>
      <w:lvlJc w:val="left"/>
      <w:pPr>
        <w:ind w:left="1981" w:hanging="361"/>
      </w:pPr>
      <w:rPr>
        <w:rFonts w:hint="default"/>
        <w:lang w:val="pt-PT" w:eastAsia="en-US" w:bidi="ar-SA"/>
      </w:rPr>
    </w:lvl>
    <w:lvl w:ilvl="4" w:tplc="6BC04366">
      <w:numFmt w:val="bullet"/>
      <w:lvlText w:val="•"/>
      <w:lvlJc w:val="left"/>
      <w:pPr>
        <w:ind w:left="2354" w:hanging="361"/>
      </w:pPr>
      <w:rPr>
        <w:rFonts w:hint="default"/>
        <w:lang w:val="pt-PT" w:eastAsia="en-US" w:bidi="ar-SA"/>
      </w:rPr>
    </w:lvl>
    <w:lvl w:ilvl="5" w:tplc="FCBEBF7E">
      <w:numFmt w:val="bullet"/>
      <w:lvlText w:val="•"/>
      <w:lvlJc w:val="left"/>
      <w:pPr>
        <w:ind w:left="2728" w:hanging="361"/>
      </w:pPr>
      <w:rPr>
        <w:rFonts w:hint="default"/>
        <w:lang w:val="pt-PT" w:eastAsia="en-US" w:bidi="ar-SA"/>
      </w:rPr>
    </w:lvl>
    <w:lvl w:ilvl="6" w:tplc="B9B87D58">
      <w:numFmt w:val="bullet"/>
      <w:lvlText w:val="•"/>
      <w:lvlJc w:val="left"/>
      <w:pPr>
        <w:ind w:left="3102" w:hanging="361"/>
      </w:pPr>
      <w:rPr>
        <w:rFonts w:hint="default"/>
        <w:lang w:val="pt-PT" w:eastAsia="en-US" w:bidi="ar-SA"/>
      </w:rPr>
    </w:lvl>
    <w:lvl w:ilvl="7" w:tplc="35EAB792">
      <w:numFmt w:val="bullet"/>
      <w:lvlText w:val="•"/>
      <w:lvlJc w:val="left"/>
      <w:pPr>
        <w:ind w:left="3475" w:hanging="361"/>
      </w:pPr>
      <w:rPr>
        <w:rFonts w:hint="default"/>
        <w:lang w:val="pt-PT" w:eastAsia="en-US" w:bidi="ar-SA"/>
      </w:rPr>
    </w:lvl>
    <w:lvl w:ilvl="8" w:tplc="CEF41F06">
      <w:numFmt w:val="bullet"/>
      <w:lvlText w:val="•"/>
      <w:lvlJc w:val="left"/>
      <w:pPr>
        <w:ind w:left="3849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58690252"/>
    <w:multiLevelType w:val="hybridMultilevel"/>
    <w:tmpl w:val="FFFFFFFF"/>
    <w:lvl w:ilvl="0" w:tplc="722A19CE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3503476">
      <w:numFmt w:val="bullet"/>
      <w:lvlText w:val="•"/>
      <w:lvlJc w:val="left"/>
      <w:pPr>
        <w:ind w:left="1216" w:hanging="361"/>
      </w:pPr>
      <w:rPr>
        <w:rFonts w:hint="default"/>
        <w:lang w:val="pt-PT" w:eastAsia="en-US" w:bidi="ar-SA"/>
      </w:rPr>
    </w:lvl>
    <w:lvl w:ilvl="2" w:tplc="02C47A50">
      <w:numFmt w:val="bullet"/>
      <w:lvlText w:val="•"/>
      <w:lvlJc w:val="left"/>
      <w:pPr>
        <w:ind w:left="1592" w:hanging="361"/>
      </w:pPr>
      <w:rPr>
        <w:rFonts w:hint="default"/>
        <w:lang w:val="pt-PT" w:eastAsia="en-US" w:bidi="ar-SA"/>
      </w:rPr>
    </w:lvl>
    <w:lvl w:ilvl="3" w:tplc="AA228782">
      <w:numFmt w:val="bullet"/>
      <w:lvlText w:val="•"/>
      <w:lvlJc w:val="left"/>
      <w:pPr>
        <w:ind w:left="1968" w:hanging="361"/>
      </w:pPr>
      <w:rPr>
        <w:rFonts w:hint="default"/>
        <w:lang w:val="pt-PT" w:eastAsia="en-US" w:bidi="ar-SA"/>
      </w:rPr>
    </w:lvl>
    <w:lvl w:ilvl="4" w:tplc="0E621496">
      <w:numFmt w:val="bullet"/>
      <w:lvlText w:val="•"/>
      <w:lvlJc w:val="left"/>
      <w:pPr>
        <w:ind w:left="2344" w:hanging="361"/>
      </w:pPr>
      <w:rPr>
        <w:rFonts w:hint="default"/>
        <w:lang w:val="pt-PT" w:eastAsia="en-US" w:bidi="ar-SA"/>
      </w:rPr>
    </w:lvl>
    <w:lvl w:ilvl="5" w:tplc="1EBA5196">
      <w:numFmt w:val="bullet"/>
      <w:lvlText w:val="•"/>
      <w:lvlJc w:val="left"/>
      <w:pPr>
        <w:ind w:left="2721" w:hanging="361"/>
      </w:pPr>
      <w:rPr>
        <w:rFonts w:hint="default"/>
        <w:lang w:val="pt-PT" w:eastAsia="en-US" w:bidi="ar-SA"/>
      </w:rPr>
    </w:lvl>
    <w:lvl w:ilvl="6" w:tplc="58147C20">
      <w:numFmt w:val="bullet"/>
      <w:lvlText w:val="•"/>
      <w:lvlJc w:val="left"/>
      <w:pPr>
        <w:ind w:left="3097" w:hanging="361"/>
      </w:pPr>
      <w:rPr>
        <w:rFonts w:hint="default"/>
        <w:lang w:val="pt-PT" w:eastAsia="en-US" w:bidi="ar-SA"/>
      </w:rPr>
    </w:lvl>
    <w:lvl w:ilvl="7" w:tplc="671C2726">
      <w:numFmt w:val="bullet"/>
      <w:lvlText w:val="•"/>
      <w:lvlJc w:val="left"/>
      <w:pPr>
        <w:ind w:left="3473" w:hanging="361"/>
      </w:pPr>
      <w:rPr>
        <w:rFonts w:hint="default"/>
        <w:lang w:val="pt-PT" w:eastAsia="en-US" w:bidi="ar-SA"/>
      </w:rPr>
    </w:lvl>
    <w:lvl w:ilvl="8" w:tplc="3864AF8C">
      <w:numFmt w:val="bullet"/>
      <w:lvlText w:val="•"/>
      <w:lvlJc w:val="left"/>
      <w:pPr>
        <w:ind w:left="3849" w:hanging="361"/>
      </w:pPr>
      <w:rPr>
        <w:rFonts w:hint="default"/>
        <w:lang w:val="pt-PT" w:eastAsia="en-US" w:bidi="ar-SA"/>
      </w:rPr>
    </w:lvl>
  </w:abstractNum>
  <w:num w:numId="1" w16cid:durableId="1693070683">
    <w:abstractNumId w:val="0"/>
  </w:num>
  <w:num w:numId="2" w16cid:durableId="156000059">
    <w:abstractNumId w:val="2"/>
  </w:num>
  <w:num w:numId="3" w16cid:durableId="719477617">
    <w:abstractNumId w:val="3"/>
  </w:num>
  <w:num w:numId="4" w16cid:durableId="1054232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revisionView w:inkAnnotations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38E7"/>
    <w:rsid w:val="006D38E7"/>
    <w:rsid w:val="00D96BD6"/>
    <w:rsid w:val="00E21A43"/>
    <w:rsid w:val="00E4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D38B47"/>
  <w15:docId w15:val="{47637ED0-F184-5148-93DC-1B176A85767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Next w:val="0"/>
      <w:widowControl/>
      <w:spacing w:before="0" w:after="100" w:line="252" w:lineRule="auto"/>
      <w:ind w:left="0" w:right="0" w:firstLine="0"/>
    </w:pPr>
    <w:rPr>
      <w:rFonts w:ascii="Calibri" w:eastAsia="Calibri" w:hAnsi="Calibri" w:cs="Calibri"/>
      <w:b w:val="0"/>
      <w:i w:val="0"/>
      <w:color w:val="000000"/>
      <w:sz w:val="21"/>
      <w:lang w:val="pt-PT"/>
      <w:lang w:val="pt-BR"/>
    </w:rPr>
  </w:style>
  <w:style w:type="paragraph" w:styleId="Ttulo1">
    <w:name w:val="heading 1"/>
    <w:basedOn w:val="Normal"/>
    <w:uiPriority w:val="9"/>
    <w:qFormat/>
    <w:pPr>
      <w:keepNext/>
      <w:widowControl/>
      <w:spacing w:before="200" w:after="140" w:line="252" w:lineRule="auto"/>
      <w:ind w:left="0" w:right="0" w:firstLine="0"/>
      <w:outlineLvl w:val="0"/>
    </w:pPr>
    <w:rPr>
      <w:rFonts w:ascii="Calibri" w:hAnsi="Calibri"/>
      <w:b/>
      <w:bCs/>
      <w:i w:val="0"/>
      <w:color w:val="000000"/>
      <w:sz w:val="30"/>
      <w:szCs w:val="32"/>
      <w:lang w:val="pt-BR"/>
    </w:rPr>
  </w:style>
  <w:style w:type="paragraph" w:styleId="Ttulo2">
    <w:name w:val="heading 2"/>
    <w:basedOn w:val="Normal"/>
    <w:uiPriority w:val="9"/>
    <w:unhideWhenUsed/>
    <w:qFormat/>
    <w:pPr>
      <w:keepNext/>
      <w:widowControl/>
      <w:spacing w:before="200" w:after="140" w:line="252" w:lineRule="auto"/>
      <w:ind w:left="0" w:right="0" w:firstLine="0"/>
      <w:outlineLvl w:val="1"/>
    </w:pPr>
    <w:rPr>
      <w:rFonts w:ascii="Calibri" w:hAnsi="Calibri"/>
      <w:b/>
      <w:bCs/>
      <w:i w:val="0"/>
      <w:color w:val="000000"/>
      <w:sz w:val="24"/>
      <w:szCs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04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620" w:hanging="477"/>
    </w:pPr>
  </w:style>
  <w:style w:type="paragraph" w:customStyle="1" w:styleId="TableParagraph">
    <w:name w:val="Table Paragraph"/>
    <w:basedOn w:val="Normal"/>
    <w:uiPriority w:val="1"/>
    <w:qFormat/>
    <w:pPr>
      <w:ind w:left="830" w:hanging="361"/>
      <w:jc w:val="both"/>
    </w:pPr>
  </w:style>
  <w:style w:type="paragraph" w:customStyle="1" w:styleId="Title">
    <w:name w:val="Title"/>
    <w:basedOn w:val="Normal"/>
    <w:pPr>
      <w:keepNext/>
      <w:widowControl/>
      <w:spacing w:before="0" w:after="100" w:line="252" w:lineRule="auto"/>
      <w:ind w:left="0" w:right="0" w:firstLine="0"/>
    </w:pPr>
    <w:rPr>
      <w:rFonts w:ascii="Calibri" w:hAnsi="Calibri"/>
      <w:b/>
      <w:i w:val="0"/>
      <w:color w:val="000000"/>
      <w:sz w:val="40"/>
      <w:lang w:val="pt-BR"/>
    </w:rPr>
  </w:style>
  <w:style w:type="paragraph" w:customStyle="1" w:styleId="Subtitle">
    <w:name w:val="Subtitle"/>
    <w:basedOn w:val="Normal"/>
    <w:pPr>
      <w:keepNext/>
      <w:widowControl/>
      <w:spacing w:before="0" w:after="100" w:line="252" w:lineRule="auto"/>
      <w:ind w:left="0" w:right="0" w:firstLine="0"/>
    </w:pPr>
    <w:rPr>
      <w:rFonts w:ascii="Calibri" w:hAnsi="Calibri"/>
      <w:b w:val="0"/>
      <w:i w:val="0"/>
      <w:color w:val="000000"/>
      <w:sz w:val="26"/>
      <w:lang w:val="pt-BR"/>
    </w:rPr>
  </w:style>
  <w:style w:type="paragraph" w:customStyle="1" w:styleId="Orientação">
    <w:name w:val="Orientação"/>
    <w:basedOn w:val="Normal"/>
    <w:pPr>
      <w:keepNext w:val="0"/>
      <w:widowControl/>
      <w:spacing w:before="0" w:after="100" w:line="252" w:lineRule="auto"/>
      <w:ind w:left="0" w:right="0" w:firstLine="0"/>
    </w:pPr>
    <w:rPr>
      <w:rFonts w:ascii="Calibri" w:hAnsi="Calibri"/>
      <w:b w:val="0"/>
      <w:i w:val="0"/>
      <w:color w:val="404040"/>
      <w:sz w:val="20"/>
      <w:lang w:val="pt-BR"/>
    </w:rPr>
  </w:style>
  <w:style w:type="paragraph" w:customStyle="1" w:styleId="Campoeditável">
    <w:name w:val="Campo editável"/>
    <w:basedOn w:val="Normal"/>
    <w:pPr>
      <w:keepNext w:val="0"/>
      <w:widowControl/>
      <w:spacing w:before="0" w:after="100" w:line="252" w:lineRule="auto"/>
      <w:ind w:left="0" w:right="0" w:firstLine="0"/>
    </w:pPr>
    <w:rPr>
      <w:rFonts w:ascii="Calibri" w:hAnsi="Calibri"/>
      <w:b w:val="0"/>
      <w:i/>
      <w:color w:val="234E70"/>
      <w:sz w:val="21"/>
      <w:lang w:val="pt-BR"/>
    </w:rPr>
  </w:style>
  <w:style w:type="paragraph" w:customStyle="1" w:styleId="Fonte">
    <w:name w:val="Fonte"/>
    <w:basedOn w:val="Normal"/>
    <w:pPr>
      <w:keepNext w:val="0"/>
      <w:widowControl/>
      <w:spacing w:before="0" w:after="100" w:line="252" w:lineRule="auto"/>
      <w:ind w:left="0" w:right="0" w:firstLine="0"/>
    </w:pPr>
    <w:rPr>
      <w:rFonts w:ascii="Calibri" w:hAnsi="Calibri"/>
      <w:b w:val="0"/>
      <w:i w:val="0"/>
      <w:color w:val="404040"/>
      <w:sz w:val="1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jpeg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hyperlink" Target="https://www.anac.gov.br/assuntos/legislacao/legislacao-1/portarias/2022/portaria-9459" TargetMode="External"/><Relationship Id="rId19" Type="http://schemas.openxmlformats.org/officeDocument/2006/relationships/hyperlink" Target="https://www.gov.br/gestao/pt-br/assuntos/estatais/central-de-conteudo/kits-governanca-ti/kit-3/processo-de-gerenciamento-da-continuidade-dos-servicos-de-tic/kit-3-governanca-tic-artefato-gerenciamento-da-continuidade-dos-servicos.pdf" TargetMode="External"/><Relationship Id="rId20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21" Type="http://schemas.openxmlformats.org/officeDocument/2006/relationships/hyperlink" Target="https://www.planalto.gov.br/ccivil_03/_ato2015-2018/2018/lei/l1370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Arthur, Isadora, Caio, Higor, Sabrina, Gustavo</dc:creator>
  <cp:lastModifiedBy>Equipe AeroLog</cp:lastModifiedBy>
  <cp:revision>2</cp:revision>
  <dcterms:created xsi:type="dcterms:W3CDTF">2026-09-09T16:50:00Z</dcterms:created>
  <dcterms:modified xsi:type="dcterms:W3CDTF">2026-09-09T16:50:00Z</dcterms:modified>
  <dc:title>Plano de Continuidade de Negócios da AeroLog</dc:title>
  <dc:subject>Modelo base acadêmico editável</dc:subject>
  <dc:description/>
  <cp:keywords>AeroLog, PCN, modelo base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2026-08-20T00:00:00Z</vt:filetime>
  </property>
</Properties>
</file>