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360" w:lineRule="auto"/>
        <w:jc w:val="center"/>
        <w:rPr>
          <w:rFonts w:ascii="Arial" w:cs="Arial" w:eastAsia="Arial" w:hAnsi="Arial"/>
          <w:sz w:val="24"/>
          <w:szCs w:val="24"/>
        </w:rPr>
      </w:pPr>
      <w:r w:rsidDel="00000000" w:rsidR="00000000" w:rsidRPr="00000000">
        <w:rPr/>
        <w:drawing>
          <wp:inline distB="0" distT="0" distL="0" distR="0">
            <wp:extent cx="1271919" cy="1390238"/>
            <wp:effectExtent b="0" l="0" r="0" t="0"/>
            <wp:docPr descr="Logotipo&#10;&#10;Descrição gerada automaticamente" id="2" name="image1.png"/>
            <a:graphic>
              <a:graphicData uri="http://schemas.openxmlformats.org/drawingml/2006/picture">
                <pic:pic>
                  <pic:nvPicPr>
                    <pic:cNvPr descr="Logotipo&#10;&#10;Descrição gerada automaticamente" id="0" name="image1.png"/>
                    <pic:cNvPicPr preferRelativeResize="0"/>
                  </pic:nvPicPr>
                  <pic:blipFill>
                    <a:blip r:embed="rId6"/>
                    <a:srcRect b="0" l="0" r="0" t="0"/>
                    <a:stretch>
                      <a:fillRect/>
                    </a:stretch>
                  </pic:blipFill>
                  <pic:spPr>
                    <a:xfrm>
                      <a:off x="0" y="0"/>
                      <a:ext cx="1271919" cy="13902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hd w:fill="ffffff" w:val="clear"/>
        <w:spacing w:after="0"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hd w:fill="ffffff" w:val="clear"/>
        <w:spacing w:after="0" w:line="360" w:lineRule="auto"/>
        <w:jc w:val="center"/>
        <w:rPr>
          <w:rFonts w:ascii="Arial" w:cs="Arial" w:eastAsia="Arial" w:hAnsi="Arial"/>
          <w:b w:val="1"/>
          <w:sz w:val="24"/>
          <w:szCs w:val="24"/>
          <w:highlight w:val="white"/>
        </w:rPr>
      </w:pPr>
      <w:r w:rsidDel="00000000" w:rsidR="00000000" w:rsidRPr="00000000">
        <w:rPr>
          <w:rFonts w:ascii="Arial" w:cs="Arial" w:eastAsia="Arial" w:hAnsi="Arial"/>
          <w:b w:val="1"/>
          <w:sz w:val="24"/>
          <w:szCs w:val="24"/>
          <w:highlight w:val="white"/>
          <w:rtl w:val="0"/>
        </w:rPr>
        <w:t xml:space="preserve">Helon de França Medeiros</w:t>
      </w:r>
    </w:p>
    <w:p w:rsidR="00000000" w:rsidDel="00000000" w:rsidP="00000000" w:rsidRDefault="00000000" w:rsidRPr="00000000" w14:paraId="00000005">
      <w:pPr>
        <w:shd w:fill="ffffff" w:val="clear"/>
        <w:spacing w:after="0" w:line="360" w:lineRule="auto"/>
        <w:jc w:val="center"/>
        <w:rPr>
          <w:rFonts w:ascii="Arial" w:cs="Arial" w:eastAsia="Arial" w:hAnsi="Arial"/>
          <w:b w:val="1"/>
          <w:sz w:val="24"/>
          <w:szCs w:val="24"/>
          <w:highlight w:val="yellow"/>
        </w:rPr>
      </w:pPr>
      <w:r w:rsidDel="00000000" w:rsidR="00000000" w:rsidRPr="00000000">
        <w:rPr>
          <w:rtl w:val="0"/>
        </w:rPr>
      </w:r>
    </w:p>
    <w:p w:rsidR="00000000" w:rsidDel="00000000" w:rsidP="00000000" w:rsidRDefault="00000000" w:rsidRPr="00000000" w14:paraId="00000006">
      <w:pPr>
        <w:shd w:fill="ffffff" w:val="clear"/>
        <w:spacing w:after="0" w:line="360" w:lineRule="auto"/>
        <w:jc w:val="center"/>
        <w:rPr>
          <w:rFonts w:ascii="Arial" w:cs="Arial" w:eastAsia="Arial" w:hAnsi="Arial"/>
          <w:b w:val="1"/>
          <w:sz w:val="24"/>
          <w:szCs w:val="24"/>
          <w:highlight w:val="yellow"/>
        </w:rPr>
      </w:pPr>
      <w:r w:rsidDel="00000000" w:rsidR="00000000" w:rsidRPr="00000000">
        <w:rPr>
          <w:rtl w:val="0"/>
        </w:rPr>
      </w:r>
    </w:p>
    <w:p w:rsidR="00000000" w:rsidDel="00000000" w:rsidP="00000000" w:rsidRDefault="00000000" w:rsidRPr="00000000" w14:paraId="00000007">
      <w:pPr>
        <w:spacing w:after="0" w:line="360" w:lineRule="auto"/>
        <w:jc w:val="center"/>
        <w:rPr>
          <w:rFonts w:ascii="Arial" w:cs="Arial" w:eastAsia="Arial" w:hAnsi="Arial"/>
          <w:sz w:val="24"/>
          <w:szCs w:val="24"/>
          <w:highlight w:val="white"/>
        </w:rPr>
      </w:pPr>
      <w:r w:rsidDel="00000000" w:rsidR="00000000" w:rsidRPr="00000000">
        <w:rPr>
          <w:rFonts w:ascii="Arial" w:cs="Arial" w:eastAsia="Arial" w:hAnsi="Arial"/>
          <w:b w:val="1"/>
          <w:sz w:val="24"/>
          <w:szCs w:val="24"/>
          <w:highlight w:val="white"/>
          <w:rtl w:val="0"/>
        </w:rPr>
        <w:t xml:space="preserve">Tuntum: Um Sistema de Fidelização e Bonificação para Doadores de Sangue</w:t>
      </w:r>
      <w:r w:rsidDel="00000000" w:rsidR="00000000" w:rsidRPr="00000000">
        <w:rPr>
          <w:rtl w:val="0"/>
        </w:rPr>
      </w:r>
    </w:p>
    <w:p w:rsidR="00000000" w:rsidDel="00000000" w:rsidP="00000000" w:rsidRDefault="00000000" w:rsidRPr="00000000" w14:paraId="00000008">
      <w:pPr>
        <w:shd w:fill="ffffff" w:val="clear"/>
        <w:spacing w:after="0" w:line="360" w:lineRule="auto"/>
        <w:jc w:val="center"/>
        <w:rPr>
          <w:rFonts w:ascii="Arial" w:cs="Arial" w:eastAsia="Arial" w:hAnsi="Arial"/>
          <w:b w:val="1"/>
          <w:sz w:val="24"/>
          <w:szCs w:val="24"/>
          <w:highlight w:val="yellow"/>
        </w:rPr>
      </w:pPr>
      <w:r w:rsidDel="00000000" w:rsidR="00000000" w:rsidRPr="00000000">
        <w:rPr>
          <w:rtl w:val="0"/>
        </w:rPr>
      </w:r>
    </w:p>
    <w:p w:rsidR="00000000" w:rsidDel="00000000" w:rsidP="00000000" w:rsidRDefault="00000000" w:rsidRPr="00000000" w14:paraId="00000009">
      <w:pPr>
        <w:shd w:fill="ffffff" w:val="clea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A">
      <w:pPr>
        <w:shd w:fill="ffffff" w:val="clea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B">
      <w:pPr>
        <w:shd w:fill="ffffff" w:val="clea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C">
      <w:pPr>
        <w:shd w:fill="ffffff" w:val="clea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D">
      <w:pPr>
        <w:shd w:fill="ffffff" w:val="clea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E">
      <w:pPr>
        <w:shd w:fill="ffffff" w:val="clea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F">
      <w:pPr>
        <w:spacing w:after="0" w:line="240" w:lineRule="auto"/>
        <w:ind w:left="43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Trabalho final de conclusão de curso apresentado à Banca Examinadora da Universidade Federal Rural do Rio de Janeiro como requisito parcial à obtenção do título de Bacharel em Sistemas de Informação, sob a orientação do Eduardo Kinder Almentero.</w:t>
      </w:r>
    </w:p>
    <w:p w:rsidR="00000000" w:rsidDel="00000000" w:rsidP="00000000" w:rsidRDefault="00000000" w:rsidRPr="00000000" w14:paraId="00000010">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240" w:lineRule="auto"/>
        <w:ind w:left="43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240" w:lineRule="auto"/>
        <w:ind w:left="43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240" w:lineRule="auto"/>
        <w:ind w:left="43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6"/>
          <w:szCs w:val="26"/>
        </w:rPr>
      </w:pPr>
      <w:r w:rsidDel="00000000" w:rsidR="00000000" w:rsidRPr="00000000">
        <w:rPr>
          <w:rFonts w:ascii="Arial" w:cs="Arial" w:eastAsia="Arial" w:hAnsi="Arial"/>
          <w:sz w:val="24"/>
          <w:szCs w:val="24"/>
          <w:rtl w:val="0"/>
        </w:rPr>
        <w:t xml:space="preserve">SEROPÉDICA</w:t>
      </w:r>
      <w:r w:rsidDel="00000000" w:rsidR="00000000" w:rsidRPr="00000000">
        <w:rPr>
          <w:rtl w:val="0"/>
        </w:rPr>
      </w:r>
    </w:p>
    <w:p w:rsidR="00000000" w:rsidDel="00000000" w:rsidP="00000000" w:rsidRDefault="00000000" w:rsidRPr="00000000" w14:paraId="00000016">
      <w:pPr>
        <w:jc w:val="center"/>
        <w:rPr>
          <w:rFonts w:ascii="Arial" w:cs="Arial" w:eastAsia="Arial" w:hAnsi="Arial"/>
          <w:b w:val="1"/>
          <w:sz w:val="24"/>
          <w:szCs w:val="24"/>
        </w:rPr>
      </w:pPr>
      <w:r w:rsidDel="00000000" w:rsidR="00000000" w:rsidRPr="00000000">
        <w:rPr>
          <w:rFonts w:ascii="Arial" w:cs="Arial" w:eastAsia="Arial" w:hAnsi="Arial"/>
          <w:sz w:val="24"/>
          <w:szCs w:val="24"/>
          <w:rtl w:val="0"/>
        </w:rPr>
        <w:t xml:space="preserve">2025</w:t>
      </w:r>
      <w:r w:rsidDel="00000000" w:rsidR="00000000" w:rsidRPr="00000000">
        <w:rPr>
          <w:rtl w:val="0"/>
        </w:rPr>
      </w:r>
    </w:p>
    <w:p w:rsidR="00000000" w:rsidDel="00000000" w:rsidP="00000000" w:rsidRDefault="00000000" w:rsidRPr="00000000" w14:paraId="00000017">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Sumário</w:t>
      </w:r>
    </w:p>
    <w:p w:rsidR="00000000" w:rsidDel="00000000" w:rsidP="00000000" w:rsidRDefault="00000000" w:rsidRPr="00000000" w14:paraId="00000018">
      <w:pPr>
        <w:keepNext w:val="1"/>
        <w:keepLines w:val="1"/>
        <w:spacing w:after="0" w:before="480" w:lineRule="auto"/>
        <w:jc w:val="center"/>
        <w:rPr>
          <w:rFonts w:ascii="Arial" w:cs="Arial" w:eastAsia="Arial" w:hAnsi="Arial"/>
          <w:b w:val="1"/>
          <w:sz w:val="24"/>
          <w:szCs w:val="24"/>
        </w:rPr>
      </w:pPr>
      <w:r w:rsidDel="00000000" w:rsidR="00000000" w:rsidRPr="00000000">
        <w:rPr>
          <w:rtl w:val="0"/>
        </w:rPr>
      </w:r>
    </w:p>
    <w:sdt>
      <w:sdtPr>
        <w:id w:val="186584352"/>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c2qalklxd3">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INTRODUÇÃO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zc5lx5n5wy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Problema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0a4khd29nb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Justificativa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aa1pi8dui2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Objetivos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1.3.1  Objetivo geral</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1.3.1 Objetivos específicos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ett4ptyyhgck">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REFERENCIAL TEÓRICO</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bbhyy78qh4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O Fator Humano: Engajamento e Fidelização do Doador</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rjsyg3skb7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O Processo: A Engenharia de Software como Garantia de Qualidade</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o5evhexhra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As Ferramentas: Arquitetura Tecnológica e Justificativa de Escolhas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dn0z78habo3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TRABALHOS RELACIONADOS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nauifpuyea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Análise Crítica do Aplicativo DoeSangue e sua Validação por Especialistas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8poscyuz4d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Convergências e Validação da Estratégia de Gamificação</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5w9ps2o9zy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A Lacuna Identificada e a Contribuição Original do Tuntum</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t3h5s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METODOLOGIA</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pvj4cst5br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4.1 Abordagem Metodológica</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7ty3u4dtca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 Fases do Projeto</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kvrfe6of63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4.2.1 Pesquisa e Planejamento</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msfkvfh4tq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4.2.2 Análise e Projeto do Sistema</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rv9qvoh6ej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4.2.3 Desenvolvimento e Implementação</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color w:val="000000"/>
              <w:u w:val="none"/>
              <w:rtl w:val="0"/>
            </w:rPr>
            <w:t xml:space="preserve">4</w:t>
          </w:r>
          <w:hyperlink w:anchor="_gfu5utx619v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Testes e Validação</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2s8eyo1">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DESENVOLVIMENTO</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fi0a499om1c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CONCLUSÃO E TRABALHOS FUTUROS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7dp8v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 BIBLIOGRAFIA</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b w:val="1"/>
          <w:sz w:val="24"/>
          <w:szCs w:val="24"/>
        </w:rPr>
        <w:sectPr>
          <w:footerReference r:id="rId7" w:type="default"/>
          <w:pgSz w:h="16838" w:w="11906" w:orient="portrait"/>
          <w:pgMar w:bottom="1411" w:top="2736" w:left="1699" w:right="1699" w:header="706" w:footer="706"/>
          <w:pgNumType w:start="1"/>
        </w:sect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uc2qalklxd3" w:id="0"/>
      <w:bookmarkEnd w:id="0"/>
      <w:r w:rsidDel="00000000" w:rsidR="00000000" w:rsidRPr="00000000">
        <w:rPr>
          <w:rtl w:val="0"/>
        </w:rPr>
        <w:t xml:space="preserve">1. INTRODUÇÃO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“Diretora</w:t>
      </w:r>
      <w:r w:rsidDel="00000000" w:rsidR="00000000" w:rsidRPr="00000000">
        <w:rPr>
          <w:rFonts w:ascii="Arial" w:cs="Arial" w:eastAsia="Arial" w:hAnsi="Arial"/>
          <w:sz w:val="24"/>
          <w:szCs w:val="24"/>
          <w:highlight w:val="white"/>
          <w:rtl w:val="0"/>
        </w:rPr>
        <w:t xml:space="preserve"> de Relações Externas e Intercâmbios da Fundação Pró-Sangue Hemocentro de São Paulo, Carla Luana Dinardo, destaca que a falta de reserva nos hemocentros pode resultar no adiamento de cirurgias. Ela ressalta a importância de não interromper as doações durante o período festivo e de férias, fazendo um apelo para que as pessoas mantenham o espírito natalino e continuem doando sangue” ( Carla Luana Dinardo, 2022; MINISTÉRIO DA SAÚDE, 1998). </w:t>
      </w:r>
    </w:p>
    <w:p w:rsidR="00000000" w:rsidDel="00000000" w:rsidP="00000000" w:rsidRDefault="00000000" w:rsidRPr="00000000" w14:paraId="00000037">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diretora de Relações Externas e Intercâmbios da Fundação Pró-Sangue Hemocentro de São Paulo, Carla Luana Dinardo, destaca que a falta de doações pode resultar no adiamento de cirurgias urgentes, sublinhando a importância de manter um fluxo contínuo de doações mesmo em épocas festivas.</w:t>
      </w:r>
    </w:p>
    <w:p w:rsidR="00000000" w:rsidDel="00000000" w:rsidP="00000000" w:rsidRDefault="00000000" w:rsidRPr="00000000" w14:paraId="00000038">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busca por doadores tem se constituído uma preocupação constante das autoridades sanitárias. A Organização Mundial da Saúde (OMS) preconiza que 3% a 5% da população deveriam doar sangue a cada ano, sendo essa a taxa ideal para a manutenção dos estoques de sangue e hemoderivados regularizados de um país. Menos de 2% da população brasileira doa sangue regularmente, de acordo com dados do Ministério da Saúde, ainda assim não é o suficiente para atender a demanda do país (LACERDA, 2023; MINISTÉRIO DA SAÚDE, 1998). </w:t>
      </w:r>
    </w:p>
    <w:p w:rsidR="00000000" w:rsidDel="00000000" w:rsidP="00000000" w:rsidRDefault="00000000" w:rsidRPr="00000000" w14:paraId="00000039">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Nesse cenário, podemos reforçar a necessidade urgente que existe de soluções inovadoras, para que a disponibilidade de sangue nos hemocentros brasileiros seja contínua. Além de salvar vidas, esse aumento na taxa de doação regular não só atende às diretrizes da Organização Mundial da Saúde (OMS) quanto ao suprimento adequado de sangue, mas também fortalece a infraestrutura de saúde pública do país. </w:t>
      </w:r>
    </w:p>
    <w:p w:rsidR="00000000" w:rsidDel="00000000" w:rsidP="00000000" w:rsidRDefault="00000000" w:rsidRPr="00000000" w14:paraId="0000003A">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Neste contexto, surge o aplicativo Tuntum, projetado para aumentar significativamente a captação de doadores e fomentar a frequência das doações. O Tuntum introduz um sistema de bonificação que recompensa os doadores com pontos, para fazer possíveis trocas na seção de bonificações, estimulando a continuidade das doações ao longo do tempo.</w:t>
      </w:r>
    </w:p>
    <w:p w:rsidR="00000000" w:rsidDel="00000000" w:rsidP="00000000" w:rsidRDefault="00000000" w:rsidRPr="00000000" w14:paraId="0000003B">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Este trabalho explora a construção do aplicativo mas também como estratégias de fidelização podem ser adaptadas ao contexto de doações de sangue, considerando particularidades como a falta de conhecimento específico na área da saúde. Sendo assim, será utilizado metodologias de estudo e entrevistas, que serão investigadas as necessidades e desafios enfrentados, para no fim ter um foco na eficácia do sistema de captação de doadores e no sistema de bonificação, com intuito de sempre manter doadores ativos.</w:t>
      </w:r>
    </w:p>
    <w:p w:rsidR="00000000" w:rsidDel="00000000" w:rsidP="00000000" w:rsidRDefault="00000000" w:rsidRPr="00000000" w14:paraId="0000003C">
      <w:pPr>
        <w:shd w:fill="ffffff" w:val="clear"/>
        <w:spacing w:after="0"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O desenvolvimento do aplicativo abrangerá desde o projeto até a implementação, buscando atender às demandas identificadas na introdução. Ao integrar hemocentros aos potenciais doadores e simplificar o processo de doação através da plataforma, espera-se não apenas aumentar a disponibilidade de sangue, mas também fortalecer o compromisso com a saúde pública.</w:t>
      </w:r>
      <w:r w:rsidDel="00000000" w:rsidR="00000000" w:rsidRPr="00000000">
        <w:rPr>
          <w:rtl w:val="0"/>
        </w:rPr>
      </w:r>
    </w:p>
    <w:p w:rsidR="00000000" w:rsidDel="00000000" w:rsidP="00000000" w:rsidRDefault="00000000" w:rsidRPr="00000000" w14:paraId="0000003D">
      <w:pPr>
        <w:shd w:fill="ffffff" w:val="clea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pStyle w:val="Heading2"/>
        <w:rPr/>
      </w:pPr>
      <w:bookmarkStart w:colFirst="0" w:colLast="0" w:name="_dzc5lx5n5wyq" w:id="1"/>
      <w:bookmarkEnd w:id="1"/>
      <w:r w:rsidDel="00000000" w:rsidR="00000000" w:rsidRPr="00000000">
        <w:rPr>
          <w:rtl w:val="0"/>
        </w:rPr>
        <w:t xml:space="preserve">1.1. Problema</w:t>
      </w:r>
    </w:p>
    <w:p w:rsidR="00000000" w:rsidDel="00000000" w:rsidP="00000000" w:rsidRDefault="00000000" w:rsidRPr="00000000" w14:paraId="0000003F">
      <w:pPr>
        <w:shd w:fill="ffffff" w:val="clea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doação de sangue é essencial em um processo vital para a manutenção de sistemas de saúde em todo o mundo. O sangue e seus componentes são utilizados em diversas aplicações, como cirurgias, tratamentos de doenças crônicas, emergências médicas, etc. No entanto, existem vários obstáculos ao recrutamento de doadores de sangue, como falta de informação, baixa adesão por parte de potenciais doadores e desafios na comunicação entre centros de recolha e doadores.</w:t>
      </w:r>
    </w:p>
    <w:p w:rsidR="00000000" w:rsidDel="00000000" w:rsidP="00000000" w:rsidRDefault="00000000" w:rsidRPr="00000000" w14:paraId="00000041">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Apesar das campanhas de conscientização e dos centros de coleta, muitas vezes a quantidade de sangue doada é insuficiente para atender a demanda de hospitais e clínicas. Um sistema para conectar centros de colheita de sangue e potenciais dadores de uma forma proativa e personalizada será abordado como uma questão específica. Atualmente, muitos doadores não são informados sobre a necessidade de doar em tempo hábil, resultando em um baixo índice de doações regulares.</w:t>
      </w:r>
    </w:p>
    <w:p w:rsidR="00000000" w:rsidDel="00000000" w:rsidP="00000000" w:rsidRDefault="00000000" w:rsidRPr="00000000" w14:paraId="00000042">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não resolução deste problema, gera uma escassez de sangue, levando muitas pessoas à morte por dependerem de transfusões regulares. Além disso, a comunicação insuficiente pode desmotivar os doadores e resultar numa diminuição das doações. O tuntum é um software que visa suprir as atuais inadequações, criando uma plataforma que pode convidar pessoalmente doadores de sangue e oferecer um sistema de recompensas pelos pontos ganhos durante um apelo voluntário.</w:t>
      </w:r>
    </w:p>
    <w:p w:rsidR="00000000" w:rsidDel="00000000" w:rsidP="00000000" w:rsidRDefault="00000000" w:rsidRPr="00000000" w14:paraId="00000043">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Este trabalho </w:t>
      </w:r>
      <w:r w:rsidDel="00000000" w:rsidR="00000000" w:rsidRPr="00000000">
        <w:rPr>
          <w:rFonts w:ascii="Arial" w:cs="Arial" w:eastAsia="Arial" w:hAnsi="Arial"/>
          <w:sz w:val="24"/>
          <w:szCs w:val="24"/>
          <w:highlight w:val="white"/>
          <w:rtl w:val="0"/>
        </w:rPr>
        <w:t xml:space="preserve">focará</w:t>
      </w:r>
      <w:r w:rsidDel="00000000" w:rsidR="00000000" w:rsidRPr="00000000">
        <w:rPr>
          <w:rFonts w:ascii="Arial" w:cs="Arial" w:eastAsia="Arial" w:hAnsi="Arial"/>
          <w:sz w:val="24"/>
          <w:szCs w:val="24"/>
          <w:highlight w:val="white"/>
          <w:rtl w:val="0"/>
        </w:rPr>
        <w:t xml:space="preserve"> no desenvolvimento e implementação do serviço Tuntum, incluindo: “Análise das necessidades dos centros de captação de sangue, desenvolvimento de um sistema de notificação para doadores potenciais, criação de um sistema de bonificação por pontos para incentivar doações”. Será excluído do trabalho,  “Análises detalhadas sobre aspectos médicos e biológicos da doação de sangue, Implementação prática em múltiplos centros de captação além do projeto piloto, Considerações legais e regulatórias específicas a cada região.</w:t>
      </w:r>
    </w:p>
    <w:p w:rsidR="00000000" w:rsidDel="00000000" w:rsidP="00000000" w:rsidRDefault="00000000" w:rsidRPr="00000000" w14:paraId="00000044">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Como contribuição tem o intuito de propor uma solução tecnológica para a captação de doadores de sangue. Com a plataforma Tuntum espera-se melhorar a eficiência das campanhas de doação, aumentar a frequência de doações regulares e proporcionar uma melhor comunicação entre centros de captação e doadores.</w:t>
      </w:r>
    </w:p>
    <w:p w:rsidR="00000000" w:rsidDel="00000000" w:rsidP="00000000" w:rsidRDefault="00000000" w:rsidRPr="00000000" w14:paraId="00000045">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46">
      <w:pPr>
        <w:pStyle w:val="Heading2"/>
        <w:rPr/>
      </w:pPr>
      <w:bookmarkStart w:colFirst="0" w:colLast="0" w:name="_d0a4khd29nbu" w:id="2"/>
      <w:bookmarkEnd w:id="2"/>
      <w:r w:rsidDel="00000000" w:rsidR="00000000" w:rsidRPr="00000000">
        <w:rPr>
          <w:rtl w:val="0"/>
        </w:rPr>
        <w:t xml:space="preserve">1.2. Justificativa</w:t>
      </w:r>
    </w:p>
    <w:p w:rsidR="00000000" w:rsidDel="00000000" w:rsidP="00000000" w:rsidRDefault="00000000" w:rsidRPr="00000000" w14:paraId="0000004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escassez de doações de sangue é um problema crítico enfrentado por muitos hemocentros, como demonstrado na imagem a seguir, que retrata o estoque de sangue nos postos de coleta da Fundação Pró-Sangue.</w:t>
      </w:r>
    </w:p>
    <w:p w:rsidR="00000000" w:rsidDel="00000000" w:rsidP="00000000" w:rsidRDefault="00000000" w:rsidRPr="00000000" w14:paraId="00000049">
      <w:pPr>
        <w:jc w:val="center"/>
        <w:rPr>
          <w:rFonts w:ascii="Arial" w:cs="Arial" w:eastAsia="Arial" w:hAnsi="Arial"/>
          <w:sz w:val="24"/>
          <w:szCs w:val="24"/>
        </w:rPr>
      </w:pPr>
      <w:hyperlink w:anchor="_i6zl3oj7nyum">
        <w:r w:rsidDel="00000000" w:rsidR="00000000" w:rsidRPr="00000000">
          <w:rPr>
            <w:rFonts w:ascii="Arial" w:cs="Arial" w:eastAsia="Arial" w:hAnsi="Arial"/>
            <w:color w:val="1155cc"/>
            <w:sz w:val="24"/>
            <w:szCs w:val="24"/>
            <w:u w:val="single"/>
          </w:rPr>
          <w:drawing>
            <wp:inline distB="114300" distT="114300" distL="114300" distR="114300">
              <wp:extent cx="4243015" cy="2821193"/>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243015" cy="282119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A">
      <w:pPr>
        <w:spacing w:line="240" w:lineRule="auto"/>
        <w:jc w:val="center"/>
        <w:rPr>
          <w:rFonts w:ascii="Arial" w:cs="Arial" w:eastAsia="Arial" w:hAnsi="Arial"/>
          <w:i w:val="1"/>
          <w:sz w:val="20"/>
          <w:szCs w:val="20"/>
        </w:rPr>
      </w:pPr>
      <w:bookmarkStart w:colFirst="0" w:colLast="0" w:name="_3dy6vkm" w:id="3"/>
      <w:bookmarkEnd w:id="3"/>
      <w:r w:rsidDel="00000000" w:rsidR="00000000" w:rsidRPr="00000000">
        <w:rPr>
          <w:rFonts w:ascii="Arial" w:cs="Arial" w:eastAsia="Arial" w:hAnsi="Arial"/>
          <w:i w:val="1"/>
          <w:sz w:val="20"/>
          <w:szCs w:val="20"/>
          <w:rtl w:val="0"/>
        </w:rPr>
        <w:t xml:space="preserve">Figura 1 - Exemplo de imagem que demonstra um problema. Fonte:  https://www.al.sp.gov.br/noticia/?id=433583 acesso em julho de 2024</w:t>
      </w:r>
    </w:p>
    <w:p w:rsidR="00000000" w:rsidDel="00000000" w:rsidP="00000000" w:rsidRDefault="00000000" w:rsidRPr="00000000" w14:paraId="0000004B">
      <w:pPr>
        <w:shd w:fill="ffffff" w:val="clear"/>
        <w:spacing w:after="0" w:line="360" w:lineRule="auto"/>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4C">
      <w:pPr>
        <w:shd w:fill="ffffff" w:val="clear"/>
        <w:spacing w:after="0" w:line="360" w:lineRule="auto"/>
        <w:ind w:firstLine="708"/>
        <w:jc w:val="both"/>
        <w:rPr>
          <w:rFonts w:ascii="Arial" w:cs="Arial" w:eastAsia="Arial" w:hAnsi="Arial"/>
          <w:color w:val="212529"/>
          <w:sz w:val="24"/>
          <w:szCs w:val="24"/>
          <w:highlight w:val="white"/>
        </w:rPr>
      </w:pPr>
      <w:r w:rsidDel="00000000" w:rsidR="00000000" w:rsidRPr="00000000">
        <w:rPr>
          <w:rFonts w:ascii="Arial" w:cs="Arial" w:eastAsia="Arial" w:hAnsi="Arial"/>
          <w:color w:val="212529"/>
          <w:sz w:val="24"/>
          <w:szCs w:val="24"/>
          <w:highlight w:val="white"/>
          <w:rtl w:val="0"/>
        </w:rPr>
        <w:t xml:space="preserve">De acordo com dados recentes, os tipos sanguíneos O +, O -, A - e B - estão em estado emergencial, e a fundação opera com apenas 35% da capacidade total de estoque. A pandemia da Covid-19 agravou ainda mais a situação, causando uma redução significativa nas doações. Por exemplo, em janeiro de 2021, foram coletadas 8.942 bolsas de sangue, enquanto em janeiro de 2022, apenas 8.087 bolsas foram coletadas, representando uma queda de 10% . Este cenário destaca a urgência de estratégias eficazes para aumentar a doação de sangue.</w:t>
      </w:r>
    </w:p>
    <w:p w:rsidR="00000000" w:rsidDel="00000000" w:rsidP="00000000" w:rsidRDefault="00000000" w:rsidRPr="00000000" w14:paraId="0000004D">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doação de sangue é, ainda hoje, um problema de interesse mundial, pois não há uma substância que possa, em sua totalidade, substituir o tecido sanguíneo (Rodrigues &amp; Reibnitz, 2011). Os hemocentros enfrentam dificuldades em manter o estoque de sangue para atender às necessidades específicas e emergenciais, colocando em risco a saúde e a vida da população.</w:t>
      </w:r>
    </w:p>
    <w:p w:rsidR="00000000" w:rsidDel="00000000" w:rsidP="00000000" w:rsidRDefault="00000000" w:rsidRPr="00000000" w14:paraId="0000004E">
      <w:pPr>
        <w:shd w:fill="ffffff" w:val="clear"/>
        <w:spacing w:after="0" w:line="360" w:lineRule="auto"/>
        <w:ind w:firstLine="720"/>
        <w:jc w:val="both"/>
        <w:rPr>
          <w:rFonts w:ascii="Arial" w:cs="Arial" w:eastAsia="Arial" w:hAnsi="Arial"/>
          <w:color w:val="212529"/>
          <w:sz w:val="24"/>
          <w:szCs w:val="24"/>
          <w:highlight w:val="white"/>
        </w:rPr>
      </w:pPr>
      <w:r w:rsidDel="00000000" w:rsidR="00000000" w:rsidRPr="00000000">
        <w:rPr>
          <w:rFonts w:ascii="Arial" w:cs="Arial" w:eastAsia="Arial" w:hAnsi="Arial"/>
          <w:sz w:val="24"/>
          <w:szCs w:val="24"/>
          <w:highlight w:val="white"/>
          <w:rtl w:val="0"/>
        </w:rPr>
        <w:t xml:space="preserve">Uma revisão integrativa da literatura destacou a escassez de publicações sobre estratégias de captação de doadores de sangue, com a maioria das publicações provenientes dos Estados Unidos, Brasil, Canadá e Reino Unido. As estratégias encontradas para captação de doadores foram agrupadas como acolhimento, campanhas e estratégias educativas (Rodrigues &amp; Reibnitz, 2011). Isso evidencia a necessidade de maior socialização das estratégias utilizadas pelos hemocentros para aumentar a captação de doadores de sangue, buscando novos doadores e sua fidelização.</w:t>
      </w:r>
      <w:r w:rsidDel="00000000" w:rsidR="00000000" w:rsidRPr="00000000">
        <w:rPr>
          <w:rtl w:val="0"/>
        </w:rPr>
      </w:r>
    </w:p>
    <w:p w:rsidR="00000000" w:rsidDel="00000000" w:rsidP="00000000" w:rsidRDefault="00000000" w:rsidRPr="00000000" w14:paraId="0000004F">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Dessa forma, o projeto Tuntum vem oferecendo uma solução tecnológica que facilita a gestão e a mobilização de doadores de sangue. O alinhamento do projeto com os objetivos da Universidade e sua contribuição para a comunidade acadêmica são evidentes na promoção de um sistema de saúde mais eficaz e inclusivo. Além disso, o Tuntum aborda questões sociais e éticas, como a justiça social e a inclusão, ao promover a doação de sangue como um ato de solidariedade e cidadania.</w:t>
      </w:r>
    </w:p>
    <w:p w:rsidR="00000000" w:rsidDel="00000000" w:rsidP="00000000" w:rsidRDefault="00000000" w:rsidRPr="00000000" w14:paraId="00000050">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Por fim, espera-se que os resultados do projeto possam ser aplicados na prática para melhorar a eficiência dos processos de captação de doadores, aumentar a quantidade de sangue disponível nos hemocentros e, consequentemente, salvar vidas. </w:t>
      </w:r>
    </w:p>
    <w:p w:rsidR="00000000" w:rsidDel="00000000" w:rsidP="00000000" w:rsidRDefault="00000000" w:rsidRPr="00000000" w14:paraId="0000005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hd w:fill="ffffff" w:val="clear"/>
        <w:spacing w:after="0" w:line="360" w:lineRule="auto"/>
        <w:ind w:firstLine="708"/>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54">
      <w:pPr>
        <w:shd w:fill="ffffff" w:val="clear"/>
        <w:spacing w:after="0"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0" w:line="360"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rPr/>
      </w:pPr>
      <w:bookmarkStart w:colFirst="0" w:colLast="0" w:name="_vaa1pi8dui2x" w:id="4"/>
      <w:bookmarkEnd w:id="4"/>
      <w:r w:rsidDel="00000000" w:rsidR="00000000" w:rsidRPr="00000000">
        <w:rPr>
          <w:rtl w:val="0"/>
        </w:rPr>
        <w:t xml:space="preserve">1.3. Objetivos</w:t>
      </w:r>
    </w:p>
    <w:p w:rsidR="00000000" w:rsidDel="00000000" w:rsidP="00000000" w:rsidRDefault="00000000" w:rsidRPr="00000000" w14:paraId="00000057">
      <w:pPr>
        <w:shd w:fill="ffffff" w:val="clea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pStyle w:val="Heading3"/>
        <w:rPr/>
      </w:pPr>
      <w:bookmarkStart w:colFirst="0" w:colLast="0" w:name="_3znysh7" w:id="5"/>
      <w:bookmarkEnd w:id="5"/>
      <w:r w:rsidDel="00000000" w:rsidR="00000000" w:rsidRPr="00000000">
        <w:rPr>
          <w:rtl w:val="0"/>
        </w:rPr>
        <w:t xml:space="preserve">1.3.1  Objetivo geral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hd w:fill="ffffff" w:val="clear"/>
        <w:spacing w:after="0" w:line="360" w:lineRule="auto"/>
        <w:ind w:left="6" w:firstLine="56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objetivo principal é otimizar a captação de doadores de sangue e aumentar o número de doações por meio de um sistema de fidelização que oferece bonificações aos doadores ativos, conectando centros de captação a potenciais doadores.​</w:t>
      </w:r>
    </w:p>
    <w:p w:rsidR="00000000" w:rsidDel="00000000" w:rsidP="00000000" w:rsidRDefault="00000000" w:rsidRPr="00000000" w14:paraId="0000005B">
      <w:pPr>
        <w:shd w:fill="ffffff" w:val="clea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pStyle w:val="Heading3"/>
        <w:rPr/>
      </w:pPr>
      <w:bookmarkStart w:colFirst="0" w:colLast="0" w:name="_2et92p0" w:id="6"/>
      <w:bookmarkEnd w:id="6"/>
      <w:r w:rsidDel="00000000" w:rsidR="00000000" w:rsidRPr="00000000">
        <w:rPr>
          <w:rtl w:val="0"/>
        </w:rPr>
        <w:t xml:space="preserve">1.3.1 Objetivos específicos</w:t>
      </w:r>
    </w:p>
    <w:p w:rsidR="00000000" w:rsidDel="00000000" w:rsidP="00000000" w:rsidRDefault="00000000" w:rsidRPr="00000000" w14:paraId="0000005D">
      <w:pPr>
        <w:shd w:fill="ffffff" w:val="clear"/>
        <w:spacing w:after="0" w:line="360" w:lineRule="auto"/>
        <w:ind w:left="6" w:firstLine="56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hd w:fill="ffffff" w:val="clear"/>
        <w:spacing w:after="0" w:line="360" w:lineRule="auto"/>
        <w:ind w:left="6" w:firstLine="56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Fazer pesquisas gerais sobre o assunto, para ter um ponto de partida e buscar referências de software na mesma área. </w:t>
      </w:r>
    </w:p>
    <w:p w:rsidR="00000000" w:rsidDel="00000000" w:rsidP="00000000" w:rsidRDefault="00000000" w:rsidRPr="00000000" w14:paraId="0000005F">
      <w:pPr>
        <w:shd w:fill="ffffff" w:val="clear"/>
        <w:spacing w:after="0" w:line="360" w:lineRule="auto"/>
        <w:ind w:left="6" w:firstLine="56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Fazer definição de escopo, cronograma, recursos e tecnologias que serão utilizadas.</w:t>
      </w:r>
    </w:p>
    <w:p w:rsidR="00000000" w:rsidDel="00000000" w:rsidP="00000000" w:rsidRDefault="00000000" w:rsidRPr="00000000" w14:paraId="00000060">
      <w:pPr>
        <w:shd w:fill="ffffff" w:val="clear"/>
        <w:spacing w:after="0" w:line="360" w:lineRule="auto"/>
        <w:ind w:left="6" w:firstLine="56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Definir os requisitos funcionais e não funcionais da plataforma Tuntum através de consulta a stakeholders e análise de mercado.</w:t>
      </w:r>
    </w:p>
    <w:p w:rsidR="00000000" w:rsidDel="00000000" w:rsidP="00000000" w:rsidRDefault="00000000" w:rsidRPr="00000000" w14:paraId="00000061">
      <w:pPr>
        <w:shd w:fill="ffffff" w:val="clear"/>
        <w:spacing w:after="0" w:line="360" w:lineRule="auto"/>
        <w:ind w:left="6" w:firstLine="56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Projetar a arquitetura de software da plataforma Tuntum, incluindo diagramas de fluxo de dados e modelos de entidade-relacionamento, casos de uso, entre outros diagramas UML para tomar como referência no desenvolvimento.</w:t>
      </w:r>
    </w:p>
    <w:p w:rsidR="00000000" w:rsidDel="00000000" w:rsidP="00000000" w:rsidRDefault="00000000" w:rsidRPr="00000000" w14:paraId="00000062">
      <w:pPr>
        <w:shd w:fill="ffffff" w:val="clear"/>
        <w:spacing w:after="0" w:line="360" w:lineRule="auto"/>
        <w:ind w:left="6" w:firstLine="56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Desenvolver os módulos principais da plataforma Tuntum, integrando funcionalidades de convite personalizado e sistema de bonificação por pontos.</w:t>
      </w:r>
    </w:p>
    <w:p w:rsidR="00000000" w:rsidDel="00000000" w:rsidP="00000000" w:rsidRDefault="00000000" w:rsidRPr="00000000" w14:paraId="00000063">
      <w:pPr>
        <w:shd w:fill="ffffff" w:val="clear"/>
        <w:spacing w:after="0" w:line="360" w:lineRule="auto"/>
        <w:ind w:left="6" w:firstLine="56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testes de feedback de usuários , para garantir que o software desenvolvido atenda as expectativas das partes interessadas.</w:t>
      </w:r>
    </w:p>
    <w:p w:rsidR="00000000" w:rsidDel="00000000" w:rsidP="00000000" w:rsidRDefault="00000000" w:rsidRPr="00000000" w14:paraId="00000064">
      <w:pPr>
        <w:shd w:fill="ffffff" w:val="clear"/>
        <w:spacing w:after="0" w:line="360" w:lineRule="auto"/>
        <w:ind w:left="6" w:firstLine="56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shd w:fill="ffffff" w:val="clear"/>
        <w:spacing w:after="0" w:line="360" w:lineRule="auto"/>
        <w:ind w:left="6" w:firstLine="56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pStyle w:val="Heading1"/>
        <w:rPr/>
      </w:pPr>
      <w:bookmarkStart w:colFirst="0" w:colLast="0" w:name="_v3r2xetiw13w" w:id="7"/>
      <w:bookmarkEnd w:id="7"/>
      <w:r w:rsidDel="00000000" w:rsidR="00000000" w:rsidRPr="00000000">
        <w:rPr>
          <w:rtl w:val="0"/>
        </w:rPr>
      </w:r>
    </w:p>
    <w:p w:rsidR="00000000" w:rsidDel="00000000" w:rsidP="00000000" w:rsidRDefault="00000000" w:rsidRPr="00000000" w14:paraId="00000067">
      <w:pPr>
        <w:pStyle w:val="Heading2"/>
        <w:rPr/>
      </w:pPr>
      <w:bookmarkStart w:colFirst="0" w:colLast="0" w:name="_us2qxtt97up7" w:id="8"/>
      <w:bookmarkEnd w:id="8"/>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ett4ptyyhgck" w:id="9"/>
      <w:bookmarkEnd w:id="9"/>
      <w:r w:rsidDel="00000000" w:rsidR="00000000" w:rsidRPr="00000000">
        <w:rPr>
          <w:rtl w:val="0"/>
        </w:rPr>
        <w:t xml:space="preserve">2. REFERENCIAL TEÓRICO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 desenvolvimento do projeto, conforme apresentado neste trabalho , está firmado em três pilares interdependentes: o entendimento do comportamento e das motivações do doador de sangue , a aplicação de boas práticas da Engenharia de Software como garantia de qualidade do processo , e a seleção estratégica de tecnologias web modernas para a implementação. Este capítulo detalha cada um desses pilares, construindo a base conceitual, metodológica e técnica que sustenta o projeto.</w:t>
      </w:r>
    </w:p>
    <w:p w:rsidR="00000000" w:rsidDel="00000000" w:rsidP="00000000" w:rsidRDefault="00000000" w:rsidRPr="00000000" w14:paraId="0000006D">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6E">
      <w:pPr>
        <w:pStyle w:val="Heading2"/>
        <w:shd w:fill="ffffff" w:val="clear"/>
        <w:spacing w:line="360" w:lineRule="auto"/>
        <w:jc w:val="both"/>
        <w:rPr/>
      </w:pPr>
      <w:bookmarkStart w:colFirst="0" w:colLast="0" w:name="_rbbhyy78qh4t" w:id="10"/>
      <w:bookmarkEnd w:id="10"/>
      <w:r w:rsidDel="00000000" w:rsidR="00000000" w:rsidRPr="00000000">
        <w:rPr>
          <w:rtl w:val="0"/>
        </w:rPr>
        <w:t xml:space="preserve">2.1 O Fator Humano: Engajamento e Fidelização do Doador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 ponto de partida para este projeto é um desafio de saúde pública: a baixa taxa de doação de sangue no Brasil, que representa cerca de 1,4% da população, um índice consideravelmente abaixo da faixa de 3% a 5% recomendada pela Organização Mundial da Saúde (OMS). A literatura aponta que a maior dificuldade não reside na captação do doador de primeira viagem, mas em sua retenção a longo prazo, um problema que o Tuntum visa endereçar diretamente.</w:t>
      </w:r>
    </w:p>
    <w:p w:rsidR="00000000" w:rsidDel="00000000" w:rsidP="00000000" w:rsidRDefault="00000000" w:rsidRPr="00000000" w14:paraId="00000071">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Para compreender as nuances da fidelização, o estudo de Giacomini &amp; Lunardi (2010) é fundamental. A pesquisa revela que, embora a solidariedade seja o gatilho inicial, a decisão de retornar está intrinsecamente ligada à experiência vivida pelo doador. Fatores como um atendimento humanizado e uma comunicação clara são decisivos para que o indivíduo se sinta valorizado. O Tuntum materializa essa premissa ao digitalizar e otimizar a comunicação, utilizando lembretes e fornecendo informações claras sobre o processo de doação, buscando assim construir um vínculo de confiança que transcende o ato isolado.</w:t>
      </w:r>
    </w:p>
    <w:p w:rsidR="00000000" w:rsidDel="00000000" w:rsidP="00000000" w:rsidRDefault="00000000" w:rsidRPr="00000000" w14:paraId="00000072">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Se o estudo de Giacomini &amp; Lunardi estabelece o "porquê" da fidelização, a pesquisa sobre o aplicativo DoeSangue de Silva et al. (2021) valida o "meio" – a aplicação móvel. Com um alto Índice de Validação de Conteúdo (IVC) de 0,88 , o estudo demonstra que funcionalidades como notificações e agendamento são eficazes para o engajamento. A pesquisa destaca, inclusive, que os recursos de bonificação e gamificação foram os mais bem avaliados por especialistas, alcançando pontuação máxima. O Tuntum, portanto, não só incorpora essas funcionalidades validadas, como aprofunda a camada de bonificação, tornando-a o pilar central de sua estratégia de retenção.</w:t>
      </w:r>
    </w:p>
    <w:p w:rsidR="00000000" w:rsidDel="00000000" w:rsidP="00000000" w:rsidRDefault="00000000" w:rsidRPr="00000000" w14:paraId="00000073">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4">
      <w:pPr>
        <w:pStyle w:val="Heading2"/>
        <w:shd w:fill="ffffff" w:val="clear"/>
        <w:spacing w:line="360" w:lineRule="auto"/>
        <w:jc w:val="both"/>
        <w:rPr/>
      </w:pPr>
      <w:bookmarkStart w:colFirst="0" w:colLast="0" w:name="_brjsyg3skb7x" w:id="11"/>
      <w:bookmarkEnd w:id="11"/>
      <w:r w:rsidDel="00000000" w:rsidR="00000000" w:rsidRPr="00000000">
        <w:rPr>
          <w:rtl w:val="0"/>
        </w:rPr>
        <w:t xml:space="preserve">2.2 O Processo: A Engenharia de Software como Garantia de Qualidade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Uma vez compreendidas as necessidades humanas e os desafios da fidelização, o passo seguinte foi definir um processo de desenvolvimento que garantisse que a solução tecnológica atendesse a essas demandas de forma eficaz e com qualidade. Para isso, a aplicação dos princípios da Engenharia de Software, conforme preconizados por Ian Sommerville (2019), foi essencial. A adoção de uma metodologia formal é o que eleva um projeto de software de uma simples execução de código para a construção de um sistema robusto e confiável.</w:t>
      </w:r>
    </w:p>
    <w:p w:rsidR="00000000" w:rsidDel="00000000" w:rsidP="00000000" w:rsidRDefault="00000000" w:rsidRPr="00000000" w14:paraId="00000077">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Seguindo essa linha, o desenvolvimento do Tuntum foi estruturado em fases claras, desde o planejamento até a entrega. A materialização desse processo ocorreu por meio da criação de artefatos essenciais, durante todo o processo, onde as funcionalidades do sistema foram detalhadas e priorizadas. A utilização de Histórias de Usuário assegurou que o foco permanecesse nas necessidades dos doadores e hemocentros, enquanto diagramas comportamentais, como o Diagrama de Caso de Uso e o Diagrama de Atividades, ajudaram a modelar as interações do sistema de forma clara e objetiva. Essa abordagem metódica foi crucial para traduzir os conceitos da seção anterior em um projeto de software bem definido e gerenciável.</w:t>
      </w:r>
    </w:p>
    <w:p w:rsidR="00000000" w:rsidDel="00000000" w:rsidP="00000000" w:rsidRDefault="00000000" w:rsidRPr="00000000" w14:paraId="00000078">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79">
      <w:pPr>
        <w:pStyle w:val="Heading2"/>
        <w:shd w:fill="ffffff" w:val="clear"/>
        <w:spacing w:line="360" w:lineRule="auto"/>
        <w:jc w:val="both"/>
        <w:rPr/>
      </w:pPr>
      <w:bookmarkStart w:colFirst="0" w:colLast="0" w:name="_9o5evhexhra2" w:id="12"/>
      <w:bookmarkEnd w:id="12"/>
      <w:r w:rsidDel="00000000" w:rsidR="00000000" w:rsidRPr="00000000">
        <w:rPr>
          <w:rtl w:val="0"/>
        </w:rPr>
        <w:t xml:space="preserve">2.3 As Ferramentas: Arquitetura Tecnológica e Justificativa de Escolhas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Com um processo metodológico bem definido, a etapa subsequente foi a seleção estratégica das ferramentas. Essa escolha não foi arbitrária, mas uma decisão técnica que visou materializar os requisitos levantados de forma otimizada, segura e escalável. A arquitetura adotada é a de uma Single Page Application (SPA), onde o frontend em Angular consome uma API robusta construída com Laravel.</w:t>
      </w:r>
    </w:p>
    <w:p w:rsidR="00000000" w:rsidDel="00000000" w:rsidP="00000000" w:rsidRDefault="00000000" w:rsidRPr="00000000" w14:paraId="0000007C">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Laravel (Backend): Foi escolhido por ser um framework PHP que oferece um ecossistema completo para o desenvolvimento rápido e seguro de aplicações web. Seus componentes integrados, como o sistema de autenticação e o ORM Eloquent, foram cruciais para construir uma API segura, escalável e de fácil manutenção, capaz de gerenciar todas as regras de negócio e os dados sensíveis do sistema.</w:t>
      </w:r>
    </w:p>
    <w:p w:rsidR="00000000" w:rsidDel="00000000" w:rsidP="00000000" w:rsidRDefault="00000000" w:rsidRPr="00000000" w14:paraId="0000007D">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Angular (Frontend): Para a interface, a escolha foi o Angular, um framework moderno que permite a construção de uma interface de usuário rica e reativa. Sua arquitetura, baseada em componentes, facilita a manutenção e a reutilização de código, enquanto sua natureza de SPA proporciona uma experiência de navegação fluida, essencial para manter o usuário engajado. Esta escolha também suporta a implementação do sistema como um</w:t>
        <w:br w:type="textWrapping"/>
        <w:t xml:space="preserve"> Progressive Web App (PWA), oferecendo uma experiência de aplicativo sem a dependência de lojas de aplicativos.</w:t>
      </w:r>
    </w:p>
    <w:p w:rsidR="00000000" w:rsidDel="00000000" w:rsidP="00000000" w:rsidRDefault="00000000" w:rsidRPr="00000000" w14:paraId="0000007E">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Em suma, a sinergia entre Laravel e Angular permitiu a construção de uma aplicação moderna e eficiente, fornecendo a base tecnológica necessária para que o Tuntum cumpra sua missão de engajar e fidelizar doad</w:t>
      </w:r>
      <w:r w:rsidDel="00000000" w:rsidR="00000000" w:rsidRPr="00000000">
        <w:rPr>
          <w:rFonts w:ascii="Arial" w:cs="Arial" w:eastAsia="Arial" w:hAnsi="Arial"/>
          <w:sz w:val="24"/>
          <w:szCs w:val="24"/>
          <w:rtl w:val="0"/>
        </w:rPr>
        <w:t xml:space="preserve">ores de sangue.</w:t>
      </w:r>
      <w:r w:rsidDel="00000000" w:rsidR="00000000" w:rsidRPr="00000000">
        <w:rPr>
          <w:rtl w:val="0"/>
        </w:rPr>
      </w:r>
    </w:p>
    <w:p w:rsidR="00000000" w:rsidDel="00000000" w:rsidP="00000000" w:rsidRDefault="00000000" w:rsidRPr="00000000" w14:paraId="0000007F">
      <w:pP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80">
      <w:pPr>
        <w:pStyle w:val="Heading1"/>
        <w:rPr>
          <w:sz w:val="24"/>
          <w:szCs w:val="24"/>
          <w:highlight w:val="white"/>
        </w:rPr>
      </w:pPr>
      <w:bookmarkStart w:colFirst="0" w:colLast="0" w:name="_dn0z78habo3z" w:id="13"/>
      <w:bookmarkEnd w:id="13"/>
      <w:r w:rsidDel="00000000" w:rsidR="00000000" w:rsidRPr="00000000">
        <w:rPr>
          <w:sz w:val="24"/>
          <w:szCs w:val="24"/>
          <w:rtl w:val="0"/>
        </w:rPr>
        <w:t xml:space="preserve">3. TRABALHOS RELACIONADOS</w:t>
      </w:r>
      <w:r w:rsidDel="00000000" w:rsidR="00000000" w:rsidRPr="00000000">
        <w:rPr>
          <w:rtl w:val="0"/>
        </w:rPr>
      </w:r>
    </w:p>
    <w:p w:rsidR="00000000" w:rsidDel="00000000" w:rsidP="00000000" w:rsidRDefault="00000000" w:rsidRPr="00000000" w14:paraId="00000081">
      <w:pPr>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82">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construção de uma solução tecnológica inovadora requer uma análise aprofundada do estado da arte, a fim de compreender as abordagens existentes, validar hipóteses e identificar lacunas que justifiquem o novo desenvolvimento. Esta seção se dedica a analisar um trabalho de significativa relevância para este projeto, estabelecendo um diálogo crítico entre suas conclusões e os objetivos do sistema Tuntum.</w:t>
      </w:r>
    </w:p>
    <w:p w:rsidR="00000000" w:rsidDel="00000000" w:rsidP="00000000" w:rsidRDefault="00000000" w:rsidRPr="00000000" w14:paraId="00000083">
      <w:pPr>
        <w:pStyle w:val="Heading2"/>
        <w:shd w:fill="ffffff" w:val="clear"/>
        <w:spacing w:line="360" w:lineRule="auto"/>
        <w:jc w:val="both"/>
        <w:rPr/>
      </w:pPr>
      <w:bookmarkStart w:colFirst="0" w:colLast="0" w:name="_bnauifpuyea1" w:id="14"/>
      <w:bookmarkEnd w:id="14"/>
      <w:r w:rsidDel="00000000" w:rsidR="00000000" w:rsidRPr="00000000">
        <w:rPr>
          <w:rtl w:val="0"/>
        </w:rPr>
        <w:t xml:space="preserve">3.1 Análise Crítica do Aplicativo </w:t>
      </w:r>
      <w:r w:rsidDel="00000000" w:rsidR="00000000" w:rsidRPr="00000000">
        <w:rPr>
          <w:rtl w:val="0"/>
        </w:rPr>
        <w:t xml:space="preserve">DoeSangue</w:t>
      </w:r>
      <w:r w:rsidDel="00000000" w:rsidR="00000000" w:rsidRPr="00000000">
        <w:rPr>
          <w:rtl w:val="0"/>
        </w:rPr>
        <w:t xml:space="preserve"> e sua Validação por Especialistas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Um estudo fundamental que serve como alicerce e ponto de partida para o Tuntum é o artigo "Aplicativo de apoio à doação de sangue: contribuições de especialistas sobre a funcionalidade da ferramenta", de Silva et al. (2021). Este trabalho não apenas apresenta o desenvolvimento do aplicativo </w:t>
      </w:r>
      <w:r w:rsidDel="00000000" w:rsidR="00000000" w:rsidRPr="00000000">
        <w:rPr>
          <w:rFonts w:ascii="Arial" w:cs="Arial" w:eastAsia="Arial" w:hAnsi="Arial"/>
          <w:sz w:val="24"/>
          <w:szCs w:val="24"/>
          <w:highlight w:val="white"/>
          <w:rtl w:val="0"/>
        </w:rPr>
        <w:t xml:space="preserve">DoeSangue</w:t>
      </w:r>
      <w:r w:rsidDel="00000000" w:rsidR="00000000" w:rsidRPr="00000000">
        <w:rPr>
          <w:rFonts w:ascii="Arial" w:cs="Arial" w:eastAsia="Arial" w:hAnsi="Arial"/>
          <w:sz w:val="24"/>
          <w:szCs w:val="24"/>
          <w:highlight w:val="white"/>
          <w:rtl w:val="0"/>
        </w:rPr>
        <w:t xml:space="preserve">, mas detalha um rigoroso processo de validação de suas funcionalidades com especialistas da área de hematologia e hemoterapia.</w:t>
      </w:r>
    </w:p>
    <w:p w:rsidR="00000000" w:rsidDel="00000000" w:rsidP="00000000" w:rsidRDefault="00000000" w:rsidRPr="00000000" w14:paraId="00000086">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 estudo parte de uma premissa econômica e social crucial, também central para o Tuntum, que é mais rentável e eficaz investir na fidelização de doadores existentes do que concentrar todos os esforços na captação de novos. Ações de fidelização, por serem direcionadas a um público que já demonstrou interesse, geram menor custo e maior propensão ao retorno. É exatamente neste contexto que a tecnologia móvel surge como uma ferramenta estratégica.</w:t>
      </w:r>
    </w:p>
    <w:p w:rsidR="00000000" w:rsidDel="00000000" w:rsidP="00000000" w:rsidRDefault="00000000" w:rsidRPr="00000000" w14:paraId="00000087">
      <w:pPr>
        <w:pStyle w:val="Heading2"/>
        <w:shd w:fill="ffffff" w:val="clear"/>
        <w:spacing w:line="360" w:lineRule="auto"/>
        <w:jc w:val="both"/>
        <w:rPr/>
      </w:pPr>
      <w:bookmarkStart w:colFirst="0" w:colLast="0" w:name="_b8poscyuz4d5" w:id="15"/>
      <w:bookmarkEnd w:id="15"/>
      <w:r w:rsidDel="00000000" w:rsidR="00000000" w:rsidRPr="00000000">
        <w:rPr>
          <w:rtl w:val="0"/>
        </w:rPr>
        <w:t xml:space="preserve">3.2 Convergências e Validação da Estratégia de Gamificação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 projeto </w:t>
      </w:r>
      <w:r w:rsidDel="00000000" w:rsidR="00000000" w:rsidRPr="00000000">
        <w:rPr>
          <w:rFonts w:ascii="Arial" w:cs="Arial" w:eastAsia="Arial" w:hAnsi="Arial"/>
          <w:sz w:val="24"/>
          <w:szCs w:val="24"/>
          <w:highlight w:val="white"/>
          <w:rtl w:val="0"/>
        </w:rPr>
        <w:t xml:space="preserve">DoeSangue</w:t>
      </w:r>
      <w:r w:rsidDel="00000000" w:rsidR="00000000" w:rsidRPr="00000000">
        <w:rPr>
          <w:rFonts w:ascii="Arial" w:cs="Arial" w:eastAsia="Arial" w:hAnsi="Arial"/>
          <w:sz w:val="24"/>
          <w:szCs w:val="24"/>
          <w:highlight w:val="white"/>
          <w:rtl w:val="0"/>
        </w:rPr>
        <w:t xml:space="preserve"> buscou preencher a lacuna de comunicação entre hemocentros e doadores, propondo 16 requisitos funcionais. Dentre estes, seis foram considerados inovações em relação a outros aplicativos existentes na época, focando especificamente em estratégias de captação, interação e fidelização. Esta abordagem o posiciona como um predecessor conceitual direto do Tuntum.</w:t>
      </w:r>
    </w:p>
    <w:p w:rsidR="00000000" w:rsidDel="00000000" w:rsidP="00000000" w:rsidRDefault="00000000" w:rsidRPr="00000000" w14:paraId="0000008A">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maior contribuição do estudo para este projeto é, sem dúvida, a validação da estratégia de gamificação. Ao ser avaliado por especialistas, o aplicativo obteve um alto Índice de Validação de Conteúdo (IVC) geral de 0,91. De forma ainda mais específica, os "recursos de bonificação", que representam a gamificação, foram descritos como o "ponto positivo máximo" da ferramenta e receberam a maior pontuação possível (IVC 1,0). Os especialistas foram unânimes ao afirmar a relevância da ferramenta, com um deles descrevendo-a como "revolucionária diante da captação de doadores".</w:t>
      </w:r>
    </w:p>
    <w:p w:rsidR="00000000" w:rsidDel="00000000" w:rsidP="00000000" w:rsidRDefault="00000000" w:rsidRPr="00000000" w14:paraId="0000008B">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Esta validação por pares da área da saúde confere um forte respaldo à hipótese central do Tuntum: a de que a utilização de bonificação e gamificação não é apenas uma funcionalidade acessória, mas sim uma estratégia central e altamente eficaz para o engajamento e a mobilização de doadores.</w:t>
      </w:r>
    </w:p>
    <w:p w:rsidR="00000000" w:rsidDel="00000000" w:rsidP="00000000" w:rsidRDefault="00000000" w:rsidRPr="00000000" w14:paraId="0000008C">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8D">
      <w:pPr>
        <w:pStyle w:val="Heading2"/>
        <w:shd w:fill="ffffff" w:val="clear"/>
        <w:spacing w:line="360" w:lineRule="auto"/>
        <w:jc w:val="both"/>
        <w:rPr/>
      </w:pPr>
      <w:bookmarkStart w:colFirst="0" w:colLast="0" w:name="_g5w9ps2o9zy3" w:id="16"/>
      <w:bookmarkEnd w:id="16"/>
      <w:r w:rsidDel="00000000" w:rsidR="00000000" w:rsidRPr="00000000">
        <w:rPr>
          <w:rtl w:val="0"/>
        </w:rPr>
        <w:t xml:space="preserve">3.3 A Lacuna Identificada e a Contribuição Original do Tuntum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Apesar de validar o conceito, a análise aprofundada do trabalho de Silva et al. (2021) permite identificar a lacuna que o Tuntum se propõe a preencher. O estudo do </w:t>
      </w:r>
      <w:r w:rsidDel="00000000" w:rsidR="00000000" w:rsidRPr="00000000">
        <w:rPr>
          <w:rFonts w:ascii="Arial" w:cs="Arial" w:eastAsia="Arial" w:hAnsi="Arial"/>
          <w:sz w:val="24"/>
          <w:szCs w:val="24"/>
          <w:highlight w:val="white"/>
          <w:rtl w:val="0"/>
        </w:rPr>
        <w:t xml:space="preserve">DoeSangue</w:t>
      </w:r>
      <w:r w:rsidDel="00000000" w:rsidR="00000000" w:rsidRPr="00000000">
        <w:rPr>
          <w:rFonts w:ascii="Arial" w:cs="Arial" w:eastAsia="Arial" w:hAnsi="Arial"/>
          <w:sz w:val="24"/>
          <w:szCs w:val="24"/>
          <w:highlight w:val="white"/>
          <w:rtl w:val="0"/>
        </w:rPr>
        <w:t xml:space="preserve"> focou na validação da funcionalidade e do conteúdo da ferramenta em um ambiente controlado, provando que a ideia é bem recebida por especialistas. Contudo, o escopo do artigo não abrange a implementação em larga escala nem a mensuração do impacto real dessa ferramenta nas taxas de retorno e nos indicadores de fidelização de doadores ao longo do tempo.</w:t>
      </w:r>
    </w:p>
    <w:p w:rsidR="00000000" w:rsidDel="00000000" w:rsidP="00000000" w:rsidRDefault="00000000" w:rsidRPr="00000000" w14:paraId="00000090">
      <w:pPr>
        <w:shd w:fill="ffffff" w:val="clea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Adicionalmente, embora o </w:t>
      </w:r>
      <w:r w:rsidDel="00000000" w:rsidR="00000000" w:rsidRPr="00000000">
        <w:rPr>
          <w:rFonts w:ascii="Arial" w:cs="Arial" w:eastAsia="Arial" w:hAnsi="Arial"/>
          <w:sz w:val="24"/>
          <w:szCs w:val="24"/>
          <w:highlight w:val="white"/>
          <w:rtl w:val="0"/>
        </w:rPr>
        <w:t xml:space="preserve">DoeSangue</w:t>
      </w:r>
      <w:r w:rsidDel="00000000" w:rsidR="00000000" w:rsidRPr="00000000">
        <w:rPr>
          <w:rFonts w:ascii="Arial" w:cs="Arial" w:eastAsia="Arial" w:hAnsi="Arial"/>
          <w:sz w:val="24"/>
          <w:szCs w:val="24"/>
          <w:highlight w:val="white"/>
          <w:rtl w:val="0"/>
        </w:rPr>
        <w:t xml:space="preserve"> tenha validado o conceito de "bonificação", sua implementação se dá de forma mais simbólica (pontos, metas, conquistas) dentro do próprio aplicativo. A proposta de valor e a inovação do Tuntum consistem em expandir este conceito, transformando a bonificação em um programa de fidelidade tangível. Isso se materializa através da criação de um ecossistema de parcerias com empresas, onde os pontos acumulados pelo ato de doar se convertem em benefícios reais (descontos, produtos, serviços), fechando o ciclo de incentivo e reconhecimento de forma concreta.</w:t>
      </w:r>
    </w:p>
    <w:p w:rsidR="00000000" w:rsidDel="00000000" w:rsidP="00000000" w:rsidRDefault="00000000" w:rsidRPr="00000000" w14:paraId="00000091">
      <w:pPr>
        <w:shd w:fill="ffffff" w:val="clear"/>
        <w:spacing w:after="0" w:line="360" w:lineRule="auto"/>
        <w:ind w:firstLine="720"/>
        <w:jc w:val="both"/>
        <w:rPr>
          <w:rFonts w:ascii="Arial" w:cs="Arial" w:eastAsia="Arial" w:hAnsi="Arial"/>
          <w:sz w:val="24"/>
          <w:szCs w:val="24"/>
          <w:highlight w:val="yellow"/>
        </w:rPr>
      </w:pPr>
      <w:r w:rsidDel="00000000" w:rsidR="00000000" w:rsidRPr="00000000">
        <w:rPr>
          <w:rFonts w:ascii="Arial" w:cs="Arial" w:eastAsia="Arial" w:hAnsi="Arial"/>
          <w:sz w:val="24"/>
          <w:szCs w:val="24"/>
          <w:highlight w:val="white"/>
          <w:rtl w:val="0"/>
        </w:rPr>
        <w:t xml:space="preserve">Em suma, o trabalho de Silva et al. (2021) é um pilar para o Tuntum, pois fornece uma validação científica robusta para o uso da gamificação e bonificação na doação de sangue. O Tuntum parte dessa base sólida, mas avança ao propor um modelo de negócio e de engajamento mais elaborado, focado em um sistema de bonificação com recompensas tangíveis. Adicionalmente, o sistema é concebido de forma a estabelecer as bases para futuras análises de dados sobre o comportamento e a recorrência dos doadores, sendo este um dos resultados esperados de seu amadurecimento como plataforma.</w:t>
      </w:r>
      <w:r w:rsidDel="00000000" w:rsidR="00000000" w:rsidRPr="00000000">
        <w:rPr>
          <w:rtl w:val="0"/>
        </w:rPr>
      </w:r>
    </w:p>
    <w:p w:rsidR="00000000" w:rsidDel="00000000" w:rsidP="00000000" w:rsidRDefault="00000000" w:rsidRPr="00000000" w14:paraId="00000092">
      <w:pPr>
        <w:pStyle w:val="Heading1"/>
        <w:rPr>
          <w:b w:val="0"/>
          <w:highlight w:val="white"/>
        </w:rPr>
      </w:pPr>
      <w:bookmarkStart w:colFirst="0" w:colLast="0" w:name="_1t3h5sf" w:id="17"/>
      <w:bookmarkEnd w:id="17"/>
      <w:r w:rsidDel="00000000" w:rsidR="00000000" w:rsidRPr="00000000">
        <w:rPr>
          <w:sz w:val="24"/>
          <w:szCs w:val="24"/>
          <w:rtl w:val="0"/>
        </w:rPr>
        <w:t xml:space="preserve">4. METODOLOGIA</w:t>
      </w:r>
      <w:r w:rsidDel="00000000" w:rsidR="00000000" w:rsidRPr="00000000">
        <w:rPr>
          <w:rtl w:val="0"/>
        </w:rPr>
      </w:r>
    </w:p>
    <w:p w:rsidR="00000000" w:rsidDel="00000000" w:rsidP="00000000" w:rsidRDefault="00000000" w:rsidRPr="00000000" w14:paraId="00000093">
      <w:pPr>
        <w:spacing w:after="240" w:before="24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Este capítulo descreve a abordagem metodológica e os procedimentos adotados para o desenvolvimento do sistema Tuntum, desde a sua concepção teórica até as etapas de validação. A metodologia foi estruturada para garantir que o projeto fosse conduzido de forma organizada, documentada e alinhada aos seus objetivos, seguindo as melhores práticas da Engenharia de Software.</w:t>
      </w:r>
    </w:p>
    <w:p w:rsidR="00000000" w:rsidDel="00000000" w:rsidP="00000000" w:rsidRDefault="00000000" w:rsidRPr="00000000" w14:paraId="00000094">
      <w:pPr>
        <w:pStyle w:val="Heading2"/>
        <w:keepNext w:val="0"/>
        <w:keepLines w:val="0"/>
        <w:spacing w:after="40" w:before="240" w:line="360" w:lineRule="auto"/>
        <w:jc w:val="both"/>
        <w:rPr/>
      </w:pPr>
      <w:bookmarkStart w:colFirst="0" w:colLast="0" w:name="_2pvj4cst5bro" w:id="18"/>
      <w:bookmarkEnd w:id="18"/>
      <w:r w:rsidDel="00000000" w:rsidR="00000000" w:rsidRPr="00000000">
        <w:rPr>
          <w:rtl w:val="0"/>
        </w:rPr>
        <w:t xml:space="preserve">4.1 Abordagem Metodológica</w:t>
      </w:r>
    </w:p>
    <w:p w:rsidR="00000000" w:rsidDel="00000000" w:rsidP="00000000" w:rsidRDefault="00000000" w:rsidRPr="00000000" w14:paraId="00000095">
      <w:pPr>
        <w:spacing w:after="240" w:before="24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Para o desenvolvimento do Tuntum, adotou-se uma abordagem inspirada em metodologias ágeis, que se caracterizam pela flexibilidade, desenvolvimento incremental e foco na entrega de valor contínuo. Essa escolha se justifica pela natureza do projeto, que demanda adaptações e avaliações constantes para garantir que o produto final atenda efetivamente às necessidades dos usuários (doadores) e dos stakeholders (hemocentros).</w:t>
      </w:r>
    </w:p>
    <w:p w:rsidR="00000000" w:rsidDel="00000000" w:rsidP="00000000" w:rsidRDefault="00000000" w:rsidRPr="00000000" w14:paraId="00000096">
      <w:pPr>
        <w:pStyle w:val="Heading2"/>
        <w:keepNext w:val="0"/>
        <w:keepLines w:val="0"/>
        <w:spacing w:after="40" w:before="240" w:line="360" w:lineRule="auto"/>
        <w:jc w:val="both"/>
        <w:rPr/>
      </w:pPr>
      <w:bookmarkStart w:colFirst="0" w:colLast="0" w:name="_c7ty3u4dtca2" w:id="19"/>
      <w:bookmarkEnd w:id="19"/>
      <w:r w:rsidDel="00000000" w:rsidR="00000000" w:rsidRPr="00000000">
        <w:rPr>
          <w:rtl w:val="0"/>
        </w:rPr>
        <w:t xml:space="preserve">4.2 Fases do Projeto</w:t>
      </w:r>
    </w:p>
    <w:p w:rsidR="00000000" w:rsidDel="00000000" w:rsidP="00000000" w:rsidRDefault="00000000" w:rsidRPr="00000000" w14:paraId="00000097">
      <w:pPr>
        <w:spacing w:after="240" w:before="24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 trabalho foi organizado em uma sequência de fases lógicas, cada uma com seus próprios objetivos. Cada uma dessas fases gerou artefatos específicos — como os citados a seguir e outros que serão detalhados no capítulo de Desenvolvimento — que documentam as decisões tomadas e guiam a etapa subsequente.</w:t>
      </w:r>
    </w:p>
    <w:p w:rsidR="00000000" w:rsidDel="00000000" w:rsidP="00000000" w:rsidRDefault="00000000" w:rsidRPr="00000000" w14:paraId="00000098">
      <w:pPr>
        <w:pStyle w:val="Heading3"/>
        <w:spacing w:after="240" w:before="240" w:line="360" w:lineRule="auto"/>
        <w:jc w:val="both"/>
        <w:rPr/>
      </w:pPr>
      <w:bookmarkStart w:colFirst="0" w:colLast="0" w:name="_hkvrfe6of639" w:id="20"/>
      <w:bookmarkEnd w:id="20"/>
      <w:r w:rsidDel="00000000" w:rsidR="00000000" w:rsidRPr="00000000">
        <w:rPr>
          <w:rtl w:val="0"/>
        </w:rPr>
        <w:t xml:space="preserve">4.2.1 Pesquisa e Planejamento</w:t>
      </w:r>
    </w:p>
    <w:p w:rsidR="00000000" w:rsidDel="00000000" w:rsidP="00000000" w:rsidRDefault="00000000" w:rsidRPr="00000000" w14:paraId="00000099">
      <w:pPr>
        <w:spacing w:after="240" w:before="24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fase inicial do projeto começou com a elaboração de um Canvas de Proposta de Valor, permitindo mapear, desde o princípio, as principais dores, ganhos e tarefas dos usuários para assegurar que a solução estivesse alinhada às suas reais necessidades. Em seguida, foi realizada uma pesquisa bibliográfica aprofundada para estabelecer o estado da arte sobre os temas centrais do trabalho, como gamificação, fidelização e o cenário da doação de sangue no Brasil. Em paralelo, realizou-se uma busca por trabalhos relacionados para identificar funcionalidades já validadas e definir a contribuição original do Tuntum. </w:t>
      </w:r>
    </w:p>
    <w:p w:rsidR="00000000" w:rsidDel="00000000" w:rsidP="00000000" w:rsidRDefault="00000000" w:rsidRPr="00000000" w14:paraId="0000009A">
      <w:pPr>
        <w:spacing w:after="240" w:before="24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Concluída a pesquisa, a etapa de planejamento estruturou a execução do projeto. Nesta fase, foram definidos o escopo e seus limites, o cronograma de atividades, os recursos necessários, as tecnologias a serem utilizadas (Angular e Laravel) e um plano de gerência de configuração para controlar as versões dos artefatos e do código-fonte.</w:t>
      </w:r>
    </w:p>
    <w:p w:rsidR="00000000" w:rsidDel="00000000" w:rsidP="00000000" w:rsidRDefault="00000000" w:rsidRPr="00000000" w14:paraId="0000009B">
      <w:pPr>
        <w:pStyle w:val="Heading3"/>
        <w:spacing w:after="240" w:before="240" w:line="360" w:lineRule="auto"/>
        <w:jc w:val="both"/>
        <w:rPr/>
      </w:pPr>
      <w:bookmarkStart w:colFirst="0" w:colLast="0" w:name="_2msfkvfh4tq8" w:id="21"/>
      <w:bookmarkEnd w:id="21"/>
      <w:r w:rsidDel="00000000" w:rsidR="00000000" w:rsidRPr="00000000">
        <w:rPr>
          <w:rtl w:val="0"/>
        </w:rPr>
        <w:t xml:space="preserve">4.2.2 Análise e Projeto do Sistema</w:t>
      </w:r>
    </w:p>
    <w:p w:rsidR="00000000" w:rsidDel="00000000" w:rsidP="00000000" w:rsidRDefault="00000000" w:rsidRPr="00000000" w14:paraId="0000009C">
      <w:pPr>
        <w:spacing w:after="240" w:before="24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Nesta fase, o foco foi traduzir as necessidades dos usuários em requisitos formais e, posteriormente, em um projeto técnico detalhado. A análise de requisitos envolveu um levantamento aprofundado para identificar os Requisitos Funcionais e Não Funcionais do sistema, detalhar as regras de negócio e, utilizando a técnica MoSCoW, priorizar as funcionalidades para guiar o desenvolvimento. Para a modelagem do comportamento do sistema, foram elaborados artefatos como o Diagrama de Caso de Uso.</w:t>
      </w:r>
    </w:p>
    <w:p w:rsidR="00000000" w:rsidDel="00000000" w:rsidP="00000000" w:rsidRDefault="00000000" w:rsidRPr="00000000" w14:paraId="0000009D">
      <w:pPr>
        <w:spacing w:after="240" w:before="240"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etapa de Projeto foi dividida em três frentes:</w:t>
      </w:r>
    </w:p>
    <w:p w:rsidR="00000000" w:rsidDel="00000000" w:rsidP="00000000" w:rsidRDefault="00000000" w:rsidRPr="00000000" w14:paraId="0000009E">
      <w:pPr>
        <w:numPr>
          <w:ilvl w:val="0"/>
          <w:numId w:val="2"/>
        </w:numP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Projeto Gráfico (UI/UX): Foram criados os layouts e mockups das interfaces do sistema, estabelecendo a identidade visual e o fluxo de navegação.</w:t>
      </w:r>
    </w:p>
    <w:p w:rsidR="00000000" w:rsidDel="00000000" w:rsidP="00000000" w:rsidRDefault="00000000" w:rsidRPr="00000000" w14:paraId="0000009F">
      <w:pPr>
        <w:numPr>
          <w:ilvl w:val="0"/>
          <w:numId w:val="2"/>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Projeto de Dados: Foi realizada a modelagem de dados por meio de um modelo conceitual, que evoluiu para o Diagrama Entidade-Relacionamento (DER), definindo a estrutura do banco de dados.</w:t>
      </w:r>
    </w:p>
    <w:p w:rsidR="00000000" w:rsidDel="00000000" w:rsidP="00000000" w:rsidRDefault="00000000" w:rsidRPr="00000000" w14:paraId="000000A0">
      <w:pPr>
        <w:numPr>
          <w:ilvl w:val="0"/>
          <w:numId w:val="2"/>
        </w:numP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Projeto da Arquitetura do Sistema: Foi elaborado o plano da arquitetura, definindo o modelo cliente-servidor, a abordagem como Progressive Web App (PWA) e a estrutura das principais camadas da aplicação.</w:t>
      </w:r>
    </w:p>
    <w:p w:rsidR="00000000" w:rsidDel="00000000" w:rsidP="00000000" w:rsidRDefault="00000000" w:rsidRPr="00000000" w14:paraId="000000A1">
      <w:pPr>
        <w:pStyle w:val="Heading3"/>
        <w:spacing w:after="240" w:before="240" w:line="360" w:lineRule="auto"/>
        <w:jc w:val="both"/>
        <w:rPr/>
      </w:pPr>
      <w:bookmarkStart w:colFirst="0" w:colLast="0" w:name="_frv9qvoh6ejl" w:id="22"/>
      <w:bookmarkEnd w:id="22"/>
      <w:r w:rsidDel="00000000" w:rsidR="00000000" w:rsidRPr="00000000">
        <w:rPr>
          <w:rtl w:val="0"/>
        </w:rPr>
        <w:t xml:space="preserve">4.2.3 Desenvolvimento e Implementação</w:t>
      </w:r>
    </w:p>
    <w:p w:rsidR="00000000" w:rsidDel="00000000" w:rsidP="00000000" w:rsidRDefault="00000000" w:rsidRPr="00000000" w14:paraId="000000A2">
      <w:pPr>
        <w:spacing w:after="240" w:before="24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 fase de Desenvolvimento e Implementação foi a etapa em que o planejamento e o projeto do sistema foram materializados em código funcional. A execução desta fase foi estritamente guiada pelos artefatos gerados nas etapas anteriores, como o Diagrama Entidade-Relacionamento, os mockups de interface e o Plano de Gerenciamento de Requisitos. A utilização desses documentos como um roteiro claro para a implementação foi fundamental para mitigar ambiguidades, o que resultou em um processo de desenvolvimento mais ágil e com sensível redução de retrabalho.</w:t>
      </w:r>
    </w:p>
    <w:p w:rsidR="00000000" w:rsidDel="00000000" w:rsidP="00000000" w:rsidRDefault="00000000" w:rsidRPr="00000000" w14:paraId="000000A3">
      <w:pPr>
        <w:spacing w:after="240" w:before="24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Adotando a abordagem ágil, as Histórias de Usuário foram o artefato primordial para organizar o trabalho. O desenvolvimento foi dividido em ciclos curtos (sprints) e, a cada ciclo, um conjunto de histórias era selecionado para implementação. Essa prática garantiu que cada entrega incremental de software estivesse focada em agregar valor real e validável para o usuário final. Neste processo, foram implementados os módulos principais da plataforma Tuntum, transformando os requisitos técnicos e de negócio no protótipo funcional do sistema.</w:t>
      </w:r>
    </w:p>
    <w:p w:rsidR="00000000" w:rsidDel="00000000" w:rsidP="00000000" w:rsidRDefault="00000000" w:rsidRPr="00000000" w14:paraId="000000A4">
      <w:pPr>
        <w:pStyle w:val="Heading3"/>
        <w:spacing w:after="240" w:before="240" w:line="360" w:lineRule="auto"/>
        <w:jc w:val="both"/>
        <w:rPr/>
      </w:pPr>
      <w:bookmarkStart w:colFirst="0" w:colLast="0" w:name="_gfu5utx619vx" w:id="23"/>
      <w:bookmarkEnd w:id="23"/>
      <w:r w:rsidDel="00000000" w:rsidR="00000000" w:rsidRPr="00000000">
        <w:rPr>
          <w:rtl w:val="0"/>
        </w:rPr>
        <w:t xml:space="preserve">4</w:t>
      </w:r>
      <w:r w:rsidDel="00000000" w:rsidR="00000000" w:rsidRPr="00000000">
        <w:rPr>
          <w:rtl w:val="0"/>
        </w:rPr>
        <w:t xml:space="preserve">.2.4 Testes e Validação</w:t>
      </w:r>
    </w:p>
    <w:p w:rsidR="00000000" w:rsidDel="00000000" w:rsidP="00000000" w:rsidRDefault="00000000" w:rsidRPr="00000000" w14:paraId="000000A5">
      <w:pPr>
        <w:spacing w:after="240" w:before="24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 ciclo de desenvolvimento do escopo deste trabalho culminou na entrega de um primeiro protótipo funcional do sistema, considerado uma versão beta. Para garantir a qualidade deste protótipo, foram realizados testes técnicos durante sua implementação, como testes unitários, para verificar a funcionalidade de componentes individuais, e testes de integração, para assegurar que os diferentes módulos se comunicam corretamente.</w:t>
      </w:r>
    </w:p>
    <w:p w:rsidR="00000000" w:rsidDel="00000000" w:rsidP="00000000" w:rsidRDefault="00000000" w:rsidRPr="00000000" w14:paraId="000000A6">
      <w:pPr>
        <w:spacing w:after="240" w:before="240"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Dado o estágio atual do projeto, a validação com o usuário final será feita por partes, de forma a coletar feedback em diferentes níveis de maturidade do produto. A avaliação de usabilidade será conduzida em duas etapas principais:</w:t>
      </w:r>
    </w:p>
    <w:p w:rsidR="00000000" w:rsidDel="00000000" w:rsidP="00000000" w:rsidRDefault="00000000" w:rsidRPr="00000000" w14:paraId="000000A7">
      <w:pPr>
        <w:numPr>
          <w:ilvl w:val="0"/>
          <w:numId w:val="1"/>
        </w:numP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Avaliação dos Protótipos (Telas do Figma): A primeira etapa de validação incide sobre os protótipos criados na ferramenta Figma. Eles serão apresentados a potenciais usuários para coletar um feedback sobre o design, a clareza da interface e a intuitividade do fluxo de navegação, permitindo realizar ajustes antes da implementação de novas funcionalidades.</w:t>
      </w:r>
    </w:p>
    <w:p w:rsidR="00000000" w:rsidDel="00000000" w:rsidP="00000000" w:rsidRDefault="00000000" w:rsidRPr="00000000" w14:paraId="000000A8">
      <w:pPr>
        <w:numPr>
          <w:ilvl w:val="0"/>
          <w:numId w:val="1"/>
        </w:numP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Avaliação da Ferramenta (Versão Beta): A segunda etapa consistirá na condução de testes de usabilidade com a versão beta já funcional. Um grupo selecionado de usuários será convidado a executar tarefas específicas no sistema, e sua interação será observada e registrada.</w:t>
      </w:r>
    </w:p>
    <w:p w:rsidR="00000000" w:rsidDel="00000000" w:rsidP="00000000" w:rsidRDefault="00000000" w:rsidRPr="00000000" w14:paraId="000000A9">
      <w:pPr>
        <w:spacing w:after="240" w:before="240" w:line="360" w:lineRule="auto"/>
        <w:ind w:firstLine="720"/>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 objetivo final dessas avaliações combinadas é estabelecer critérios de aceitação para a plataforma e coletar dados qualitativos e quantitativos sobre a experiência do usuário, visando validar a eficácia da solução proposta e identificar pontos de melhoria para futuras iterações.</w:t>
      </w:r>
    </w:p>
    <w:p w:rsidR="00000000" w:rsidDel="00000000" w:rsidP="00000000" w:rsidRDefault="00000000" w:rsidRPr="00000000" w14:paraId="000000AA">
      <w:pPr>
        <w:spacing w:after="0" w:line="360" w:lineRule="auto"/>
        <w:ind w:firstLine="708"/>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B">
      <w:pPr>
        <w:spacing w:after="0" w:line="360" w:lineRule="auto"/>
        <w:ind w:firstLine="708"/>
        <w:jc w:val="center"/>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C">
      <w:pPr>
        <w:spacing w:after="0" w:line="360" w:lineRule="auto"/>
        <w:ind w:left="720" w:firstLine="0"/>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D">
      <w:pPr>
        <w:spacing w:after="0" w:line="360" w:lineRule="auto"/>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ab/>
      </w:r>
    </w:p>
    <w:p w:rsidR="00000000" w:rsidDel="00000000" w:rsidP="00000000" w:rsidRDefault="00000000" w:rsidRPr="00000000" w14:paraId="000000AE">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AF">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0">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1">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2">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3">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4">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5">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6">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7">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8">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9">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A">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B">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C">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D">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E">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BF">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C0">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C1">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C2">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C3">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C4">
      <w:pPr>
        <w:spacing w:after="0" w:line="360" w:lineRule="auto"/>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0C5">
      <w:pPr>
        <w:pStyle w:val="Heading1"/>
        <w:rPr/>
      </w:pPr>
      <w:bookmarkStart w:colFirst="0" w:colLast="0" w:name="_2s8eyo1" w:id="24"/>
      <w:bookmarkEnd w:id="24"/>
      <w:r w:rsidDel="00000000" w:rsidR="00000000" w:rsidRPr="00000000">
        <w:rPr>
          <w:rtl w:val="0"/>
        </w:rPr>
        <w:t xml:space="preserve">5. DESENVOLVIMENTO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rPr/>
      </w:pPr>
      <w:bookmarkStart w:colFirst="0" w:colLast="0" w:name="_fi0a499om1cz" w:id="25"/>
      <w:bookmarkEnd w:id="25"/>
      <w:r w:rsidDel="00000000" w:rsidR="00000000" w:rsidRPr="00000000">
        <w:rPr>
          <w:rtl w:val="0"/>
        </w:rPr>
        <w:t xml:space="preserve">6. CONCLUSÃO E TRABALHOS FUTUROS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pPr>
      <w:bookmarkStart w:colFirst="0" w:colLast="0" w:name="_17dp8vu" w:id="26"/>
      <w:bookmarkEnd w:id="26"/>
      <w:r w:rsidDel="00000000" w:rsidR="00000000" w:rsidRPr="00000000">
        <w:rPr>
          <w:rtl w:val="0"/>
        </w:rPr>
        <w:t xml:space="preserve">7. BIBLIOGRAFIA </w:t>
      </w:r>
    </w:p>
    <w:p w:rsidR="00000000" w:rsidDel="00000000" w:rsidP="00000000" w:rsidRDefault="00000000" w:rsidRPr="00000000" w14:paraId="000000FC">
      <w:pPr>
        <w:rPr>
          <w:rFonts w:ascii="Arial" w:cs="Arial" w:eastAsia="Arial" w:hAnsi="Arial"/>
          <w:b w:val="1"/>
          <w:sz w:val="24"/>
          <w:szCs w:val="24"/>
        </w:rPr>
      </w:pPr>
      <w:bookmarkStart w:colFirst="0" w:colLast="0" w:name="_qriyabslw6z1" w:id="27"/>
      <w:bookmarkEnd w:id="27"/>
      <w:r w:rsidDel="00000000" w:rsidR="00000000" w:rsidRPr="00000000">
        <w:rPr>
          <w:rtl w:val="0"/>
        </w:rPr>
      </w:r>
    </w:p>
    <w:p w:rsidR="00000000" w:rsidDel="00000000" w:rsidP="00000000" w:rsidRDefault="00000000" w:rsidRPr="00000000" w14:paraId="000000FD">
      <w:pP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GOV. </w:t>
      </w:r>
      <w:r w:rsidDel="00000000" w:rsidR="00000000" w:rsidRPr="00000000">
        <w:rPr>
          <w:rFonts w:ascii="Arial" w:cs="Arial" w:eastAsia="Arial" w:hAnsi="Arial"/>
          <w:b w:val="1"/>
          <w:sz w:val="24"/>
          <w:szCs w:val="24"/>
          <w:highlight w:val="white"/>
          <w:rtl w:val="0"/>
        </w:rPr>
        <w:t xml:space="preserve">Hemocentros: a importância da manutenção dos estoques de sangue no período festivo e de férias.</w:t>
      </w:r>
      <w:r w:rsidDel="00000000" w:rsidR="00000000" w:rsidRPr="00000000">
        <w:rPr>
          <w:rFonts w:ascii="Arial" w:cs="Arial" w:eastAsia="Arial" w:hAnsi="Arial"/>
          <w:sz w:val="24"/>
          <w:szCs w:val="24"/>
          <w:highlight w:val="white"/>
          <w:rtl w:val="0"/>
        </w:rPr>
        <w:t xml:space="preserve"> Disponível em: &lt;</w:t>
      </w:r>
      <w:hyperlink r:id="rId9">
        <w:r w:rsidDel="00000000" w:rsidR="00000000" w:rsidRPr="00000000">
          <w:rPr>
            <w:rFonts w:ascii="Arial" w:cs="Arial" w:eastAsia="Arial" w:hAnsi="Arial"/>
            <w:color w:val="1155cc"/>
            <w:sz w:val="24"/>
            <w:szCs w:val="24"/>
            <w:highlight w:val="white"/>
            <w:u w:val="single"/>
            <w:rtl w:val="0"/>
          </w:rPr>
          <w:t xml:space="preserve">https://www.gov.br/saude/pt-br/assuntos/noticias/2022/dezembro/hemocentros-a-importancia-da-manutencao-dos-estoques-de-sangue-no-periodo-festivo-e-de-ferias</w:t>
        </w:r>
      </w:hyperlink>
      <w:r w:rsidDel="00000000" w:rsidR="00000000" w:rsidRPr="00000000">
        <w:rPr>
          <w:rFonts w:ascii="Arial" w:cs="Arial" w:eastAsia="Arial" w:hAnsi="Arial"/>
          <w:sz w:val="24"/>
          <w:szCs w:val="24"/>
          <w:highlight w:val="white"/>
          <w:rtl w:val="0"/>
        </w:rPr>
        <w:t xml:space="preserve">&gt;. Acesso em: 14 jul. 2024.</w:t>
      </w:r>
    </w:p>
    <w:p w:rsidR="00000000" w:rsidDel="00000000" w:rsidP="00000000" w:rsidRDefault="00000000" w:rsidRPr="00000000" w14:paraId="000000FE">
      <w:pP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LACERDA. </w:t>
      </w:r>
      <w:r w:rsidDel="00000000" w:rsidR="00000000" w:rsidRPr="00000000">
        <w:rPr>
          <w:rFonts w:ascii="Arial" w:cs="Arial" w:eastAsia="Arial" w:hAnsi="Arial"/>
          <w:b w:val="1"/>
          <w:sz w:val="24"/>
          <w:szCs w:val="24"/>
          <w:highlight w:val="white"/>
          <w:rtl w:val="0"/>
        </w:rPr>
        <w:t xml:space="preserve">População brasileira precisa tornar doação de sangue um hábito cotidiano, diz especialista.</w:t>
      </w:r>
      <w:r w:rsidDel="00000000" w:rsidR="00000000" w:rsidRPr="00000000">
        <w:rPr>
          <w:rFonts w:ascii="Arial" w:cs="Arial" w:eastAsia="Arial" w:hAnsi="Arial"/>
          <w:sz w:val="24"/>
          <w:szCs w:val="24"/>
          <w:highlight w:val="white"/>
          <w:rtl w:val="0"/>
        </w:rPr>
        <w:t xml:space="preserve"> Disponível em: &lt;</w:t>
      </w:r>
      <w:hyperlink r:id="rId10">
        <w:r w:rsidDel="00000000" w:rsidR="00000000" w:rsidRPr="00000000">
          <w:rPr>
            <w:rFonts w:ascii="Arial" w:cs="Arial" w:eastAsia="Arial" w:hAnsi="Arial"/>
            <w:color w:val="1155cc"/>
            <w:sz w:val="24"/>
            <w:szCs w:val="24"/>
            <w:highlight w:val="white"/>
            <w:u w:val="single"/>
            <w:rtl w:val="0"/>
          </w:rPr>
          <w:t xml:space="preserve">https://www.brasildefato.com.br/2023/06/27/populacao-brasileira-precisa-tornar-doacao-de-sangue-um-habito-cotidiano-diz-especialista</w:t>
        </w:r>
      </w:hyperlink>
      <w:r w:rsidDel="00000000" w:rsidR="00000000" w:rsidRPr="00000000">
        <w:rPr>
          <w:rFonts w:ascii="Arial" w:cs="Arial" w:eastAsia="Arial" w:hAnsi="Arial"/>
          <w:sz w:val="24"/>
          <w:szCs w:val="24"/>
          <w:highlight w:val="white"/>
          <w:rtl w:val="0"/>
        </w:rPr>
        <w:t xml:space="preserve">&gt;. Acesso em: 14 jul. 2024.</w:t>
      </w:r>
    </w:p>
    <w:p w:rsidR="00000000" w:rsidDel="00000000" w:rsidP="00000000" w:rsidRDefault="00000000" w:rsidRPr="00000000" w14:paraId="000000FF">
      <w:pP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OLIVEIRA, D. </w:t>
      </w:r>
      <w:r w:rsidDel="00000000" w:rsidR="00000000" w:rsidRPr="00000000">
        <w:rPr>
          <w:rFonts w:ascii="Arial" w:cs="Arial" w:eastAsia="Arial" w:hAnsi="Arial"/>
          <w:b w:val="1"/>
          <w:sz w:val="24"/>
          <w:szCs w:val="24"/>
          <w:highlight w:val="white"/>
          <w:rtl w:val="0"/>
        </w:rPr>
        <w:t xml:space="preserve">Assembleia Legislativa do Estado de São Paulo incentiva a doação de sangue; estoques baixos preocupam</w:t>
      </w:r>
      <w:r w:rsidDel="00000000" w:rsidR="00000000" w:rsidRPr="00000000">
        <w:rPr>
          <w:rFonts w:ascii="Arial" w:cs="Arial" w:eastAsia="Arial" w:hAnsi="Arial"/>
          <w:sz w:val="24"/>
          <w:szCs w:val="24"/>
          <w:highlight w:val="white"/>
          <w:rtl w:val="0"/>
        </w:rPr>
        <w:t xml:space="preserve">. Disponível em: &lt;</w:t>
      </w:r>
      <w:hyperlink r:id="rId11">
        <w:r w:rsidDel="00000000" w:rsidR="00000000" w:rsidRPr="00000000">
          <w:rPr>
            <w:rFonts w:ascii="Arial" w:cs="Arial" w:eastAsia="Arial" w:hAnsi="Arial"/>
            <w:color w:val="1155cc"/>
            <w:sz w:val="24"/>
            <w:szCs w:val="24"/>
            <w:highlight w:val="white"/>
            <w:u w:val="single"/>
            <w:rtl w:val="0"/>
          </w:rPr>
          <w:t xml:space="preserve">https://www.al/noticia/?id=433583</w:t>
        </w:r>
      </w:hyperlink>
      <w:r w:rsidDel="00000000" w:rsidR="00000000" w:rsidRPr="00000000">
        <w:rPr>
          <w:rFonts w:ascii="Arial" w:cs="Arial" w:eastAsia="Arial" w:hAnsi="Arial"/>
          <w:sz w:val="24"/>
          <w:szCs w:val="24"/>
          <w:highlight w:val="white"/>
          <w:rtl w:val="0"/>
        </w:rPr>
        <w:t xml:space="preserve">&gt;. Acesso em: 16 jul. 2024.</w:t>
      </w:r>
    </w:p>
    <w:p w:rsidR="00000000" w:rsidDel="00000000" w:rsidP="00000000" w:rsidRDefault="00000000" w:rsidRPr="00000000" w14:paraId="00000100">
      <w:pP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SILVA, Joélia Rodrigues da et al. </w:t>
      </w:r>
      <w:r w:rsidDel="00000000" w:rsidR="00000000" w:rsidRPr="00000000">
        <w:rPr>
          <w:rFonts w:ascii="Arial" w:cs="Arial" w:eastAsia="Arial" w:hAnsi="Arial"/>
          <w:b w:val="1"/>
          <w:sz w:val="24"/>
          <w:szCs w:val="24"/>
          <w:highlight w:val="white"/>
          <w:rtl w:val="0"/>
        </w:rPr>
        <w:t xml:space="preserve">Aplicativo de apoio à doação de sangue: contribuições de especialistas sobre a funcionalidade da ferramenta.</w:t>
      </w:r>
      <w:r w:rsidDel="00000000" w:rsidR="00000000" w:rsidRPr="00000000">
        <w:rPr>
          <w:rFonts w:ascii="Arial" w:cs="Arial" w:eastAsia="Arial" w:hAnsi="Arial"/>
          <w:sz w:val="24"/>
          <w:szCs w:val="24"/>
          <w:highlight w:val="white"/>
          <w:rtl w:val="0"/>
        </w:rPr>
        <w:t xml:space="preserve"> Ciência &amp; Saúde Coletiva, v. 26, n. 2, p. 493-503, 2021. Disponível em:</w:t>
      </w:r>
      <w:hyperlink r:id="rId12">
        <w:r w:rsidDel="00000000" w:rsidR="00000000" w:rsidRPr="00000000">
          <w:rPr>
            <w:rFonts w:ascii="Arial" w:cs="Arial" w:eastAsia="Arial" w:hAnsi="Arial"/>
            <w:sz w:val="24"/>
            <w:szCs w:val="24"/>
            <w:highlight w:val="white"/>
            <w:rtl w:val="0"/>
          </w:rPr>
          <w:t xml:space="preserve"> &lt;</w:t>
        </w:r>
      </w:hyperlink>
      <w:hyperlink r:id="rId13">
        <w:r w:rsidDel="00000000" w:rsidR="00000000" w:rsidRPr="00000000">
          <w:rPr>
            <w:rFonts w:ascii="Arial" w:cs="Arial" w:eastAsia="Arial" w:hAnsi="Arial"/>
            <w:color w:val="1155cc"/>
            <w:sz w:val="24"/>
            <w:szCs w:val="24"/>
            <w:highlight w:val="white"/>
            <w:u w:val="single"/>
            <w:rtl w:val="0"/>
          </w:rPr>
          <w:t xml:space="preserve">https://doi.org/10.1590/1413-81232021262.41022020</w:t>
        </w:r>
      </w:hyperlink>
      <w:r w:rsidDel="00000000" w:rsidR="00000000" w:rsidRPr="00000000">
        <w:rPr>
          <w:rFonts w:ascii="Arial" w:cs="Arial" w:eastAsia="Arial" w:hAnsi="Arial"/>
          <w:sz w:val="24"/>
          <w:szCs w:val="24"/>
          <w:highlight w:val="white"/>
          <w:rtl w:val="0"/>
        </w:rPr>
        <w:t xml:space="preserve">&gt;.</w:t>
      </w:r>
    </w:p>
    <w:p w:rsidR="00000000" w:rsidDel="00000000" w:rsidP="00000000" w:rsidRDefault="00000000" w:rsidRPr="00000000" w14:paraId="00000101">
      <w:pP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GIACOMINI, L.; LUNARDI FILHO, W. D. </w:t>
      </w:r>
      <w:r w:rsidDel="00000000" w:rsidR="00000000" w:rsidRPr="00000000">
        <w:rPr>
          <w:rFonts w:ascii="Arial" w:cs="Arial" w:eastAsia="Arial" w:hAnsi="Arial"/>
          <w:b w:val="1"/>
          <w:sz w:val="24"/>
          <w:szCs w:val="24"/>
          <w:highlight w:val="white"/>
          <w:rtl w:val="0"/>
        </w:rPr>
        <w:t xml:space="preserve">Estratégias para fidelização de doadores de sangue voluntários e habituais.</w:t>
      </w:r>
      <w:r w:rsidDel="00000000" w:rsidR="00000000" w:rsidRPr="00000000">
        <w:rPr>
          <w:rFonts w:ascii="Arial" w:cs="Arial" w:eastAsia="Arial" w:hAnsi="Arial"/>
          <w:sz w:val="24"/>
          <w:szCs w:val="24"/>
          <w:highlight w:val="white"/>
          <w:rtl w:val="0"/>
        </w:rPr>
        <w:t xml:space="preserve"> Acta Paulista de Enfermagem, v. 23, n. 1, p. 65–72, 2010.</w:t>
      </w:r>
    </w:p>
    <w:p w:rsidR="00000000" w:rsidDel="00000000" w:rsidP="00000000" w:rsidRDefault="00000000" w:rsidRPr="00000000" w14:paraId="00000102">
      <w:pPr>
        <w:spacing w:after="0" w:line="360" w:lineRule="auto"/>
        <w:ind w:firstLine="708"/>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RODRIGUES, R. S. M.; REIBNITZ, K. S. </w:t>
      </w:r>
      <w:r w:rsidDel="00000000" w:rsidR="00000000" w:rsidRPr="00000000">
        <w:rPr>
          <w:rFonts w:ascii="Arial" w:cs="Arial" w:eastAsia="Arial" w:hAnsi="Arial"/>
          <w:b w:val="1"/>
          <w:sz w:val="24"/>
          <w:szCs w:val="24"/>
          <w:highlight w:val="white"/>
          <w:rtl w:val="0"/>
        </w:rPr>
        <w:t xml:space="preserve">Estratégias de captação de doadores de sangue: uma revisão integrativa da literatura.</w:t>
      </w:r>
      <w:r w:rsidDel="00000000" w:rsidR="00000000" w:rsidRPr="00000000">
        <w:rPr>
          <w:rFonts w:ascii="Arial" w:cs="Arial" w:eastAsia="Arial" w:hAnsi="Arial"/>
          <w:sz w:val="24"/>
          <w:szCs w:val="24"/>
          <w:highlight w:val="white"/>
          <w:rtl w:val="0"/>
        </w:rPr>
        <w:t xml:space="preserve"> Texto &amp; contexto enfermagem, v. 20, n. 2, p. 384–391, 2011</w:t>
      </w:r>
    </w:p>
    <w:p w:rsidR="00000000" w:rsidDel="00000000" w:rsidP="00000000" w:rsidRDefault="00000000" w:rsidRPr="00000000" w14:paraId="00000103">
      <w:pPr>
        <w:spacing w:after="0"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SOMMERVILLE, Ian. </w:t>
      </w:r>
      <w:r w:rsidDel="00000000" w:rsidR="00000000" w:rsidRPr="00000000">
        <w:rPr>
          <w:rFonts w:ascii="Arial" w:cs="Arial" w:eastAsia="Arial" w:hAnsi="Arial"/>
          <w:b w:val="1"/>
          <w:sz w:val="24"/>
          <w:szCs w:val="24"/>
          <w:highlight w:val="white"/>
          <w:rtl w:val="0"/>
        </w:rPr>
        <w:t xml:space="preserve">Engenharia de Software</w:t>
      </w:r>
      <w:r w:rsidDel="00000000" w:rsidR="00000000" w:rsidRPr="00000000">
        <w:rPr>
          <w:rFonts w:ascii="Arial" w:cs="Arial" w:eastAsia="Arial" w:hAnsi="Arial"/>
          <w:sz w:val="24"/>
          <w:szCs w:val="24"/>
          <w:highlight w:val="white"/>
          <w:rtl w:val="0"/>
        </w:rPr>
        <w:t xml:space="preserve">. 10. ed. Pearson Universidades. 2019. 723 p.</w:t>
      </w:r>
    </w:p>
    <w:p w:rsidR="00000000" w:rsidDel="00000000" w:rsidP="00000000" w:rsidRDefault="00000000" w:rsidRPr="00000000" w14:paraId="00000104">
      <w:pPr>
        <w:spacing w:after="0" w:line="360" w:lineRule="auto"/>
        <w:ind w:firstLine="708"/>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05">
      <w:pPr>
        <w:spacing w:after="0" w:line="360" w:lineRule="auto"/>
        <w:ind w:firstLine="708"/>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06">
      <w:pPr>
        <w:spacing w:after="0" w:line="360" w:lineRule="auto"/>
        <w:ind w:firstLine="708"/>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07">
      <w:pPr>
        <w:spacing w:after="0" w:line="360" w:lineRule="auto"/>
        <w:ind w:firstLine="708"/>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08">
      <w:pPr>
        <w:spacing w:after="0" w:line="360" w:lineRule="auto"/>
        <w:ind w:firstLine="708"/>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09">
      <w:pPr>
        <w:spacing w:after="0" w:line="360" w:lineRule="auto"/>
        <w:ind w:firstLine="708"/>
        <w:jc w:val="both"/>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10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sectPr>
          <w:type w:val="nextPage"/>
          <w:pgSz w:h="16838" w:w="11906" w:orient="portrait"/>
          <w:pgMar w:bottom="1417" w:top="1417" w:left="1700.7874015748032" w:right="1701" w:header="708" w:footer="708"/>
        </w:sect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
        <w:jc w:val="both"/>
        <w:rPr/>
      </w:pPr>
      <w:r w:rsidDel="00000000" w:rsidR="00000000" w:rsidRPr="00000000">
        <w:rPr>
          <w:rtl w:val="0"/>
        </w:rPr>
      </w:r>
    </w:p>
    <w:p w:rsidR="00000000" w:rsidDel="00000000" w:rsidP="00000000" w:rsidRDefault="00000000" w:rsidRPr="00000000" w14:paraId="0000010D">
      <w:pPr>
        <w:spacing w:after="0" w:line="360" w:lineRule="auto"/>
        <w:jc w:val="both"/>
        <w:rPr>
          <w:rFonts w:ascii="Arial" w:cs="Arial" w:eastAsia="Arial" w:hAnsi="Arial"/>
          <w:sz w:val="24"/>
          <w:szCs w:val="24"/>
        </w:rPr>
      </w:pPr>
      <w:r w:rsidDel="00000000" w:rsidR="00000000" w:rsidRPr="00000000">
        <w:rPr>
          <w:rtl w:val="0"/>
        </w:rPr>
      </w:r>
    </w:p>
    <w:sectPr>
      <w:type w:val="continuous"/>
      <w:pgSz w:h="16838" w:w="11906" w:orient="portrait"/>
      <w:pgMar w:bottom="1411" w:top="2736" w:left="1699" w:right="1699"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Arial" w:cs="Arial" w:eastAsia="Arial" w:hAnsi="Arial"/>
      <w:b w:val="1"/>
      <w:sz w:val="26"/>
      <w:szCs w:val="26"/>
    </w:rPr>
  </w:style>
  <w:style w:type="paragraph" w:styleId="Heading2">
    <w:name w:val="heading 2"/>
    <w:basedOn w:val="Normal"/>
    <w:next w:val="Normal"/>
    <w:pPr>
      <w:keepNext w:val="1"/>
      <w:keepLines w:val="1"/>
      <w:spacing w:after="0" w:before="200" w:lineRule="auto"/>
    </w:pPr>
    <w:rPr>
      <w:rFonts w:ascii="Arial" w:cs="Arial" w:eastAsia="Arial" w:hAnsi="Arial"/>
      <w:b w:val="1"/>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color w:val="000000"/>
      <w:sz w:val="24"/>
      <w:szCs w:val="24"/>
    </w:rPr>
  </w:style>
  <w:style w:type="paragraph" w:styleId="Heading4">
    <w:name w:val="heading 4"/>
    <w:basedOn w:val="Normal"/>
    <w:next w:val="Normal"/>
    <w:pPr>
      <w:keepNext w:val="1"/>
      <w:keepLines w:val="1"/>
      <w:spacing w:after="0" w:before="200" w:lineRule="auto"/>
      <w:jc w:val="center"/>
    </w:pPr>
    <w:rPr>
      <w:rFonts w:ascii="Arial" w:cs="Arial" w:eastAsia="Arial" w:hAnsi="Arial"/>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l/noticia/?id=433583" TargetMode="External"/><Relationship Id="rId10" Type="http://schemas.openxmlformats.org/officeDocument/2006/relationships/hyperlink" Target="https://www.brasildefato.com.br/2023/06/27/populacao-brasileira-precisa-tornar-doacao-de-sangue-um-habito-cotidiano-diz-especialista" TargetMode="External"/><Relationship Id="rId13" Type="http://schemas.openxmlformats.org/officeDocument/2006/relationships/hyperlink" Target="https://doi.org/10.1590/1413-81232021262.41022020" TargetMode="External"/><Relationship Id="rId12" Type="http://schemas.openxmlformats.org/officeDocument/2006/relationships/hyperlink" Target="https://doi.org/10.1590/1413-81232021262.410220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br/saude/pt-br/assuntos/noticias/2022/dezembro/hemocentros-a-importancia-da-manutencao-dos-estoques-de-sangue-no-periodo-festivo-e-de-feria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