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0FB68" w14:textId="77777777" w:rsidR="004D55F8" w:rsidRDefault="00000000">
      <w:pPr>
        <w:jc w:val="center"/>
      </w:pPr>
      <w:r>
        <w:rPr>
          <w:b/>
          <w:color w:val="1F3B73"/>
          <w:sz w:val="48"/>
        </w:rPr>
        <w:t>Deteção de Glúten e Alergénios</w:t>
      </w:r>
      <w:r>
        <w:rPr>
          <w:b/>
          <w:color w:val="1F3B73"/>
          <w:sz w:val="48"/>
        </w:rPr>
        <w:br/>
        <w:t>em Rótulos Alimentares</w:t>
      </w:r>
    </w:p>
    <w:p w14:paraId="01399B07" w14:textId="77777777" w:rsidR="004D55F8" w:rsidRDefault="00000000">
      <w:pPr>
        <w:jc w:val="center"/>
      </w:pPr>
      <w:r>
        <w:rPr>
          <w:i/>
          <w:sz w:val="30"/>
        </w:rPr>
        <w:t>Relatório Final do Projeto</w:t>
      </w:r>
    </w:p>
    <w:p w14:paraId="19FD11A5" w14:textId="762B3916" w:rsidR="004D55F8" w:rsidRDefault="00000000">
      <w:pPr>
        <w:jc w:val="center"/>
      </w:pPr>
      <w:r>
        <w:rPr>
          <w:sz w:val="24"/>
        </w:rPr>
        <w:t>Introdução à Inteligência Artificial— 2026</w:t>
      </w:r>
      <w:r>
        <w:rPr>
          <w:sz w:val="24"/>
        </w:rPr>
        <w:br/>
      </w:r>
      <w:r>
        <w:rPr>
          <w:sz w:val="24"/>
        </w:rPr>
        <w:br/>
        <w:t>Caio Rosa (160173003)</w:t>
      </w:r>
      <w:r>
        <w:rPr>
          <w:sz w:val="24"/>
        </w:rPr>
        <w:br/>
        <w:t>Lucélia Ferreira (240001227)</w:t>
      </w:r>
      <w:r>
        <w:rPr>
          <w:sz w:val="24"/>
        </w:rPr>
        <w:br/>
        <w:t>Nadine Jeremias (240001501)</w:t>
      </w:r>
    </w:p>
    <w:p w14:paraId="1C9A9FF7" w14:textId="77777777" w:rsidR="004D55F8" w:rsidRDefault="00000000">
      <w:r>
        <w:br w:type="page"/>
      </w:r>
    </w:p>
    <w:p w14:paraId="72F78E79" w14:textId="77777777" w:rsidR="004D55F8" w:rsidRDefault="00000000">
      <w:pPr>
        <w:pStyle w:val="Ttulo1"/>
      </w:pPr>
      <w:r>
        <w:lastRenderedPageBreak/>
        <w:t>Resumo</w:t>
      </w:r>
    </w:p>
    <w:p w14:paraId="1E21A1F2" w14:textId="77777777" w:rsidR="004D55F8" w:rsidRDefault="00000000">
      <w:r>
        <w:t>Este projeto desenvolve um sistema de Inteligência Artificial que analisa a fotografia de um rótulo alimentar e identifica automaticamente a presença de glúten e de alergénios, assinala ingredientes ambíguos e atribui um grau de risco, sempre com uma justificação por ingrediente. A solução combina reconhecimento ótico de carateres (OCR), processamento de linguagem natural (PLN), um classificador baseado em regras e modelos de aprendizagem supervisionada (Naive Bayes, Árvore de Decisão e Random Forest). Todas as etapas reutilizam conceitos lecionados na unidade curricular. Na avaliação não circular sobre texto real, o sistema atinge 91,2 % de exatidão na deteção de glúten; o melhor modelo supervisionado (Random Forest) alcança 88,7 % de exatidão no conjunto de teste.</w:t>
      </w:r>
    </w:p>
    <w:p w14:paraId="0B4E8507" w14:textId="77777777" w:rsidR="004D55F8" w:rsidRDefault="00000000">
      <w:pPr>
        <w:pStyle w:val="Ttulo1"/>
      </w:pPr>
      <w:r>
        <w:t>1. Introdução e objetivo</w:t>
      </w:r>
    </w:p>
    <w:p w14:paraId="5E52154A" w14:textId="77777777" w:rsidR="004D55F8" w:rsidRDefault="00000000">
      <w:r>
        <w:t>A doença celíaca e as alergias alimentares obrigam muitos consumidores a ler cuidadosamente os rótulos. O Regulamento (UE) n.º 1169/2011 torna obrigatória a declaração de 14 alergénios (entre os quais os cereais com glúten, o leite, os ovos, a soja, o amendoim e os frutos de casca rija). Contudo, a leitura manual é morosa e propensa a erros, e a origem de alguns ingredientes (amido, aromas, proteína vegetal) nem sempre é clara.</w:t>
      </w:r>
    </w:p>
    <w:p w14:paraId="0E07971F" w14:textId="77777777" w:rsidR="004D55F8" w:rsidRDefault="00000000">
      <w:r>
        <w:t>O objetivo é construir uma aplicação que, a partir de uma imagem de um rótulo, produza uma análise clara, explicável e justificável: deteção de glúten (em cinco graus, de «Sem Glúten» a «Contém Glúten»), estado de alergénios, identificação de ingredientes ambíguos, grau de risco e recomendações ao consumidor.</w:t>
      </w:r>
    </w:p>
    <w:p w14:paraId="543D2E91" w14:textId="77777777" w:rsidR="004D55F8" w:rsidRDefault="00000000">
      <w:pPr>
        <w:pStyle w:val="Ttulo1"/>
      </w:pPr>
      <w:r>
        <w:t>2. Reavaliação técnica da proposta</w:t>
      </w:r>
    </w:p>
    <w:p w14:paraId="4A305441" w14:textId="77777777" w:rsidR="004D55F8" w:rsidRDefault="00000000">
      <w:r>
        <w:t>A proposta inicial sugeria «construir um modelo de linguagem (LLM) de raiz». Após análise crítica, esta via foi rejeitada: treinar um LLM exige enormes volumes de dados, tempo de treino e recursos computacionais incompatíveis com o contexto académico, e seria desadequado a um problema que é, na sua essência, de extração e classificação de informação estruturada.</w:t>
      </w:r>
    </w:p>
    <w:p w14:paraId="3B1D2AD0" w14:textId="77777777" w:rsidR="004D55F8" w:rsidRDefault="00000000">
      <w:r>
        <w:t>Optámos por uma arquitetura modular — OCR + PLN + regras especializadas + classificadores supervisionados — mais transparente, mais barata de treinar e diretamente alinhada com a matéria lecionada. Esta escolha privilegia também a explicabilidade, requisito central do enunciado: ao contrário de um modelo «caixa-negra», cada decisão é justificada ao nível do ingrediente.</w:t>
      </w:r>
    </w:p>
    <w:p w14:paraId="6900484C" w14:textId="77777777" w:rsidR="004D55F8" w:rsidRDefault="00000000">
      <w:pPr>
        <w:pStyle w:val="Ttulo1"/>
      </w:pPr>
      <w:r>
        <w:t>3. Arquitetura geral do sistema</w:t>
      </w:r>
    </w:p>
    <w:p w14:paraId="4AE28A8A" w14:textId="77777777" w:rsidR="004D55F8" w:rsidRDefault="00000000">
      <w:r>
        <w:t>O sistema está organizado em oito fases. As fases 1 e 2 (investigação e construção do conjunto de dados) sustentam o resto: definem a base de conhecimento e o conjunto de treino. As fases 3 a 7 formam o fluxo de produção — da imagem ao relatório — e a fase 8 mede o desempenho. O diagrama seguinte resume todo o processo.</w:t>
      </w:r>
    </w:p>
    <w:p w14:paraId="6FE99E6E" w14:textId="77777777" w:rsidR="004D55F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98B983" wp14:editId="7911A4E3">
            <wp:extent cx="5120640" cy="54810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8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DB0B" w14:textId="77777777" w:rsidR="004D55F8" w:rsidRDefault="00000000">
      <w:r>
        <w:rPr>
          <w:sz w:val="20"/>
        </w:rPr>
        <w:t>Cada fase comunica com a seguinte através de estruturas de dados bem definidas (o resultado da análise de PLN alimenta as regras, que alimentam o motor de explicabilidade, que alimenta o relatório), o que torna o código modular e testável de forma independente.</w:t>
      </w:r>
    </w:p>
    <w:p w14:paraId="0E332338" w14:textId="77777777" w:rsidR="004D55F8" w:rsidRDefault="00000000">
      <w:pPr>
        <w:pStyle w:val="Ttulo1"/>
      </w:pPr>
      <w:r>
        <w:t>4. Dados e base de conhecimento (Fases 1–2)</w:t>
      </w:r>
    </w:p>
    <w:p w14:paraId="5ADAD650" w14:textId="77777777" w:rsidR="004D55F8" w:rsidRDefault="00000000">
      <w:r>
        <w:t>A fonte de dados é o Open Food Facts, base alimentar pública com forte presença de produtos europeus. A partir do dump oficial (~9 GiB, lido em modo de fluxo para não esgotar a memória) extraímos 21 262 produtos comercializados em Portugal, guardando os campos relevantes: nome, marca, categorias, ingredientes, alergénios, traços, etiquetas, Nutri-Score e país.</w:t>
      </w:r>
    </w:p>
    <w:p w14:paraId="185C9308" w14:textId="77777777" w:rsidR="004D55F8" w:rsidRDefault="00000000">
      <w:r>
        <w:t xml:space="preserve">A preparação dos dados incluiu limpeza (remoção de registos sem ingredientes e de duplicados), normalização de texto e uniformização. Verificámos que o texto livre do dump contém </w:t>
      </w:r>
      <w:r>
        <w:lastRenderedPageBreak/>
        <w:t>«mojibake» (carateres corrompidos), pelo que demos prioridade à coluna normalizada de tags de ingredientes (taxonomia «en:») para a análise estatística e para o treino.</w:t>
      </w:r>
    </w:p>
    <w:p w14:paraId="328156D3" w14:textId="77777777" w:rsidR="004D55F8" w:rsidRDefault="00000000">
      <w:r>
        <w:t>A base de conhecimento (módulo knowledge_base) codifica o saber do domínio: as tags de cereais com glúten, as tags de ingredientes ambíguos e os 14 alergénios obrigatórios da União Europeia, com a respetiva designação em português. É o núcleo simbólico que as fases seguintes consultam.</w:t>
      </w:r>
    </w:p>
    <w:p w14:paraId="26ECA9FB" w14:textId="77777777" w:rsidR="004D55F8" w:rsidRDefault="00000000">
      <w:pPr>
        <w:pStyle w:val="Ttulo1"/>
      </w:pPr>
      <w:r>
        <w:t>5. Extração de texto — OCR (Fase 3)</w:t>
      </w:r>
    </w:p>
    <w:p w14:paraId="6041C70B" w14:textId="77777777" w:rsidR="004D55F8" w:rsidRDefault="00000000">
      <w:r>
        <w:t>O módulo de OCR converte a imagem em texto. O fluxo é: pré-processamento com OpenCV (escala de cinzentos, redução de ruído, binarização e correção de inclinação), reconhecimento com o motor Tesseract configurado para português e inglês, limpeza do texto (correção de erros típicos, junção de palavras hifenizadas, remoção de ruído de margens) e, por fim, isolamento da secção «Ingredientes» por heurística. A escolha do Tesseract justifica-se por ser livre, maduro e com bom suporte de português.</w:t>
      </w:r>
    </w:p>
    <w:p w14:paraId="567DC810" w14:textId="77777777" w:rsidR="004D55F8" w:rsidRDefault="00000000">
      <w:pPr>
        <w:pStyle w:val="Ttulo1"/>
      </w:pPr>
      <w:r>
        <w:t>6. Processamento de linguagem natural (Fase 4)</w:t>
      </w:r>
    </w:p>
    <w:p w14:paraId="3270EA33" w14:textId="77777777" w:rsidR="004D55F8" w:rsidRDefault="00000000">
      <w:r>
        <w:t>Esta fase transforma texto livre numa análise estruturada. As etapas são a normalização (forma Unicode, minúsculas, remoção de acentos para efeitos de comparação), a tokenização da lista de ingredientes (separação por vírgulas, parênteses, percentagens e conjunções «e/y/and») e a remoção de inconsistências (números, códigos de aditivos, ruído).</w:t>
      </w:r>
    </w:p>
    <w:p w14:paraId="30D57EF2" w14:textId="77777777" w:rsidR="004D55F8" w:rsidRDefault="00000000">
      <w:r>
        <w:t>O coração da fase é a correspondência (matching) entre cada segmento de texto e um léxico de ingredientes em português, inglês e francês, que faz a ponte para as tags «en:» da base de conhecimento. A correspondência é primeiro exata e, quando falha — algo frequente devido a erros de OCR como «Batato» por «batata» ou «centeo» por «centeio» — recorre a métricas de distância. Aqui aplicámos diretamente os conceitos das aulas de Estilometria: a distância de Levenshtein (com um rácio de semelhança normalizado) e o índice de Jaccard, ambos implementados em Python puro. A correspondência é ordenada por especificidade, para que «farinha de trigo» (glúten) prevaleça sobre «farinha» (ambíguo) e «amido de milho» (seguro) sobre «amido» (ambíguo). O sistema deteta ainda as declarações «contém», «pode conter traços» e o rótulo «sem glúten».</w:t>
      </w:r>
    </w:p>
    <w:p w14:paraId="0973CA48" w14:textId="77777777" w:rsidR="004D55F8" w:rsidRDefault="00000000">
      <w:pPr>
        <w:pStyle w:val="Ttulo1"/>
      </w:pPr>
      <w:r>
        <w:t>7. Classificação e treino dos modelos (Fase 5)</w:t>
      </w:r>
    </w:p>
    <w:p w14:paraId="3A23E0C2" w14:textId="77777777" w:rsidR="004D55F8" w:rsidRDefault="00000000">
      <w:r>
        <w:t>O enunciado pede a comparação de várias abordagens. Implementámos primeiro um classificador baseado em regras especializadas, que a partir das tags de um produto atribui o estado de glúten («sem», «contém» ou «suspeito») e que constitui a referência explicável do sistema.</w:t>
      </w:r>
    </w:p>
    <w:p w14:paraId="0D723996" w14:textId="77777777" w:rsidR="004D55F8" w:rsidRDefault="00000000">
      <w:r>
        <w:lastRenderedPageBreak/>
        <w:t>Em seguida treinámos modelos de aprendizagem supervisionada. Como não dispúnhamos de rótulos humanos para todos os produtos, usámos uma estratégia de supervisão fraca: as próprias regras geram o rótulo de cada produto, funcionando como «professor» automático. Cada produto é representado por um vetor binário do tipo «saco de tags» (bag-of-tags): para cada tag de ingrediente do vocabulário, 1 se está presente, 0 caso contrário. O conjunto resultante tem 8 770 amostras, 968 atributos e 3 classes.</w:t>
      </w:r>
    </w:p>
    <w:p w14:paraId="7217F16D" w14:textId="77777777" w:rsidR="004D55F8" w:rsidRDefault="00000000">
      <w:r>
        <w:t>Comparámos três algoritmos lecionados: Naive Bayes de Bernoulli, implementado de raiz a partir do Teorema de Bayes (verosimilhança de Bernoulli com suavização de Laplace e cálculo em espaço logarítmico para evitar underflow); a Árvore de Decisão; e a Random Forest. O protocolo de treino seguiu o que foi ensinado: divisão em treino e teste (train_test_split) estratificada, validação cruzada K-Fold estratificada com 5 folds, e o ciclo fit/predict. A avaliação reutiliza o código do professor (confusion_matrix2), que calcula a matriz de confusão e as métricas Accuracy, Precision, Recall e F1. A nossa implementação de Naive Bayes foi validada por coincidir 100 % com a do scikit-learn.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D55F8" w14:paraId="5D1BF5BE" w14:textId="77777777" w:rsidTr="004D5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95DCCF" w14:textId="77777777" w:rsidR="004D55F8" w:rsidRDefault="00000000">
            <w:r>
              <w:rPr>
                <w:sz w:val="19"/>
              </w:rPr>
              <w:t>Modelo</w:t>
            </w:r>
          </w:p>
        </w:tc>
        <w:tc>
          <w:tcPr>
            <w:tcW w:w="2160" w:type="dxa"/>
          </w:tcPr>
          <w:p w14:paraId="5F44AE90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K-Fold (exatidão)</w:t>
            </w:r>
          </w:p>
        </w:tc>
        <w:tc>
          <w:tcPr>
            <w:tcW w:w="2160" w:type="dxa"/>
          </w:tcPr>
          <w:p w14:paraId="68E9C172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 (exatidão)</w:t>
            </w:r>
          </w:p>
        </w:tc>
        <w:tc>
          <w:tcPr>
            <w:tcW w:w="2160" w:type="dxa"/>
          </w:tcPr>
          <w:p w14:paraId="6AAF2B45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Macro-F1</w:t>
            </w:r>
          </w:p>
        </w:tc>
      </w:tr>
      <w:tr w:rsidR="004D55F8" w14:paraId="0633CA8B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AF67A6" w14:textId="77777777" w:rsidR="004D55F8" w:rsidRDefault="00000000">
            <w:r>
              <w:rPr>
                <w:sz w:val="19"/>
              </w:rPr>
              <w:t>Naive Bayes (de raiz)</w:t>
            </w:r>
          </w:p>
        </w:tc>
        <w:tc>
          <w:tcPr>
            <w:tcW w:w="2160" w:type="dxa"/>
          </w:tcPr>
          <w:p w14:paraId="2827F4D1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81,3 %</w:t>
            </w:r>
          </w:p>
        </w:tc>
        <w:tc>
          <w:tcPr>
            <w:tcW w:w="2160" w:type="dxa"/>
          </w:tcPr>
          <w:p w14:paraId="1FE7C188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82,0 %</w:t>
            </w:r>
          </w:p>
        </w:tc>
        <w:tc>
          <w:tcPr>
            <w:tcW w:w="2160" w:type="dxa"/>
          </w:tcPr>
          <w:p w14:paraId="18F83C73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80,8 %</w:t>
            </w:r>
          </w:p>
        </w:tc>
      </w:tr>
      <w:tr w:rsidR="004D55F8" w14:paraId="116F5D19" w14:textId="77777777" w:rsidTr="004D55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EDE3E8" w14:textId="77777777" w:rsidR="004D55F8" w:rsidRDefault="00000000">
            <w:r>
              <w:rPr>
                <w:sz w:val="19"/>
              </w:rPr>
              <w:t>Árvore de Decisão</w:t>
            </w:r>
          </w:p>
        </w:tc>
        <w:tc>
          <w:tcPr>
            <w:tcW w:w="2160" w:type="dxa"/>
          </w:tcPr>
          <w:p w14:paraId="404CF19B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87,8 %</w:t>
            </w:r>
          </w:p>
        </w:tc>
        <w:tc>
          <w:tcPr>
            <w:tcW w:w="2160" w:type="dxa"/>
          </w:tcPr>
          <w:p w14:paraId="62DD953B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87,9 %</w:t>
            </w:r>
          </w:p>
        </w:tc>
        <w:tc>
          <w:tcPr>
            <w:tcW w:w="2160" w:type="dxa"/>
          </w:tcPr>
          <w:p w14:paraId="69B2F50A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87,0 %</w:t>
            </w:r>
          </w:p>
        </w:tc>
      </w:tr>
      <w:tr w:rsidR="004D55F8" w14:paraId="651CB8BF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534119" w14:textId="77777777" w:rsidR="004D55F8" w:rsidRDefault="00000000">
            <w:r>
              <w:rPr>
                <w:sz w:val="19"/>
              </w:rPr>
              <w:t>Random Forest</w:t>
            </w:r>
          </w:p>
        </w:tc>
        <w:tc>
          <w:tcPr>
            <w:tcW w:w="2160" w:type="dxa"/>
          </w:tcPr>
          <w:p w14:paraId="2CF5650D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89,5 %</w:t>
            </w:r>
          </w:p>
        </w:tc>
        <w:tc>
          <w:tcPr>
            <w:tcW w:w="2160" w:type="dxa"/>
          </w:tcPr>
          <w:p w14:paraId="5D327F0F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88,7 %</w:t>
            </w:r>
          </w:p>
        </w:tc>
        <w:tc>
          <w:tcPr>
            <w:tcW w:w="2160" w:type="dxa"/>
          </w:tcPr>
          <w:p w14:paraId="75414C65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88,1 %</w:t>
            </w:r>
          </w:p>
        </w:tc>
      </w:tr>
    </w:tbl>
    <w:p w14:paraId="19E8738C" w14:textId="77777777" w:rsidR="004D55F8" w:rsidRDefault="00000000">
      <w:pPr>
        <w:jc w:val="center"/>
      </w:pPr>
      <w:r>
        <w:rPr>
          <w:noProof/>
        </w:rPr>
        <w:drawing>
          <wp:inline distT="0" distB="0" distL="0" distR="0" wp14:anchorId="34EF918D" wp14:editId="65AF9614">
            <wp:extent cx="4937760" cy="28732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model_comparis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7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7484" w14:textId="77777777" w:rsidR="004D55F8" w:rsidRDefault="00000000">
      <w:r>
        <w:rPr>
          <w:sz w:val="20"/>
        </w:rPr>
        <w:t>A Random Forest obteve o melhor desempenho. O Naive Bayes ficou abaixo sobretudo na classe «suspeito» (a mais difícil para todos os modelos), o que é coerente com a sua hipótese de independência entre atributos. Note-se que o problema não é trivial: o vocabulário exclui tags muito raras e o rótulo depende também de campos que não entram nos atributos, pelo que existe aprendizagem real e não mera memorização das regras.</w:t>
      </w:r>
    </w:p>
    <w:p w14:paraId="37739756" w14:textId="77777777" w:rsidR="004D55F8" w:rsidRDefault="00000000">
      <w:pPr>
        <w:pStyle w:val="Ttulo1"/>
      </w:pPr>
      <w:r>
        <w:lastRenderedPageBreak/>
        <w:t>8. Explicabilidade (Fase 6)</w:t>
      </w:r>
    </w:p>
    <w:p w14:paraId="68819E99" w14:textId="77777777" w:rsidR="004D55F8" w:rsidRDefault="00000000">
      <w:r>
        <w:t>O sistema justifica todas as decisões. Para cada ingrediente reconhecido produz uma linha com um símbolo de estado — ❌ contém glúten, ⚠️ ambíguo ou alergénio, ✅ seguro — e uma observação textual, incluindo a tag «en:» de origem (rastreabilidade) e a confiança quando a correspondência foi aproximada. Esta camada não acrescenta lógica de decisão: torna transparente aquilo que as regras e o PLN já determinaram.</w:t>
      </w:r>
    </w:p>
    <w:p w14:paraId="4FAE440C" w14:textId="77777777" w:rsidR="004D55F8" w:rsidRDefault="00000000">
      <w:pPr>
        <w:pStyle w:val="Ttulo1"/>
      </w:pPr>
      <w:r>
        <w:t>9. Relatório e aplicação (Fase 7)</w:t>
      </w:r>
    </w:p>
    <w:p w14:paraId="6B7572D9" w14:textId="77777777" w:rsidR="004D55F8" w:rsidRDefault="00000000">
      <w:r>
        <w:t>Todo o pipeline culmina num relatório automático com quatro secções: RESUMO (classificação global), ANÁLISE DOS INGREDIENTES (tabela detalhada), ALERGÉNIOS DETETADOS e RECOMENDAÇÕES. As recomendações são geradas por regras a partir do grau de risco, dos ingredientes ambíguos, dos alergénios e da qualidade do reconhecimento (por exemplo, «produto inadequado para celíacos» ou «confirmar a origem do amido junto do fabricante»). Disponibilizámos o sistema como linha de comandos e como aplicação web (Flask), onde o utilizador cola o texto ou carrega a foto do rótulo e recebe o relatório com cores por grau de risco.</w:t>
      </w:r>
    </w:p>
    <w:p w14:paraId="13C3DDA7" w14:textId="77777777" w:rsidR="004D55F8" w:rsidRDefault="00000000">
      <w:pPr>
        <w:pStyle w:val="Ttulo1"/>
      </w:pPr>
      <w:r>
        <w:t>10. Avaliação e validação (Fase 8)</w:t>
      </w:r>
    </w:p>
    <w:p w14:paraId="5C1B1C05" w14:textId="77777777" w:rsidR="004D55F8" w:rsidRDefault="00000000">
      <w:r>
        <w:t>Avaliámos o sistema em três frentes, sempre com as métricas e a matriz de confusão do professor.</w:t>
      </w:r>
    </w:p>
    <w:p w14:paraId="170EC92E" w14:textId="77777777" w:rsidR="004D55F8" w:rsidRDefault="00000000">
      <w:r>
        <w:t>A) Modelo supervisionado: a Random Forest obteve 88,7 % de exatidão e 88,1 % de macro-F1 no conjunto de teste retido.</w:t>
      </w:r>
    </w:p>
    <w:p w14:paraId="2D48A9A0" w14:textId="77777777" w:rsidR="004D55F8" w:rsidRDefault="00000000">
      <w:r>
        <w:t>B) Pipeline completo, de forma não circular: corremos o PLN e as regras sobre o texto livre de ingredientes e comparámos a deteção de glúten com um rótulo independente — o campo de alergénios do Open Food Facts, que o pipeline nunca lê. Em 1 500 produtos obtivemos 91,2 % de exatidão, com precisão de 85,7 % e recall de 89,9 % na deteção de glúten.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D55F8" w14:paraId="15F41CEA" w14:textId="77777777" w:rsidTr="004D5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036A4" w14:textId="77777777" w:rsidR="004D55F8" w:rsidRDefault="00000000">
            <w:r>
              <w:rPr>
                <w:sz w:val="19"/>
              </w:rPr>
              <w:t>Avaliação</w:t>
            </w:r>
          </w:p>
        </w:tc>
        <w:tc>
          <w:tcPr>
            <w:tcW w:w="2160" w:type="dxa"/>
          </w:tcPr>
          <w:p w14:paraId="385D116A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Exatidão</w:t>
            </w:r>
          </w:p>
        </w:tc>
        <w:tc>
          <w:tcPr>
            <w:tcW w:w="2160" w:type="dxa"/>
          </w:tcPr>
          <w:p w14:paraId="6571CF32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Precisão (glúten)</w:t>
            </w:r>
          </w:p>
        </w:tc>
        <w:tc>
          <w:tcPr>
            <w:tcW w:w="2160" w:type="dxa"/>
          </w:tcPr>
          <w:p w14:paraId="5A269A23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Recall (glúten)</w:t>
            </w:r>
          </w:p>
        </w:tc>
      </w:tr>
      <w:tr w:rsidR="004D55F8" w14:paraId="6C6EEA7D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05FB92" w14:textId="77777777" w:rsidR="004D55F8" w:rsidRDefault="00000000">
            <w:r>
              <w:rPr>
                <w:sz w:val="19"/>
              </w:rPr>
              <w:t>Random Forest (teste)</w:t>
            </w:r>
          </w:p>
        </w:tc>
        <w:tc>
          <w:tcPr>
            <w:tcW w:w="2160" w:type="dxa"/>
          </w:tcPr>
          <w:p w14:paraId="6D910393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88,7 %</w:t>
            </w:r>
          </w:p>
        </w:tc>
        <w:tc>
          <w:tcPr>
            <w:tcW w:w="2160" w:type="dxa"/>
          </w:tcPr>
          <w:p w14:paraId="6F43220C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7D7E2C1A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</w:tr>
      <w:tr w:rsidR="004D55F8" w14:paraId="09E32C1C" w14:textId="77777777" w:rsidTr="004D55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269FCA" w14:textId="77777777" w:rsidR="004D55F8" w:rsidRDefault="00000000">
            <w:r>
              <w:rPr>
                <w:sz w:val="19"/>
              </w:rPr>
              <w:t>Pipeline vs rótulo independente</w:t>
            </w:r>
          </w:p>
        </w:tc>
        <w:tc>
          <w:tcPr>
            <w:tcW w:w="2160" w:type="dxa"/>
          </w:tcPr>
          <w:p w14:paraId="42CCF541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91,2 %</w:t>
            </w:r>
          </w:p>
        </w:tc>
        <w:tc>
          <w:tcPr>
            <w:tcW w:w="2160" w:type="dxa"/>
          </w:tcPr>
          <w:p w14:paraId="4BE9959B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85,7 %</w:t>
            </w:r>
          </w:p>
        </w:tc>
        <w:tc>
          <w:tcPr>
            <w:tcW w:w="2160" w:type="dxa"/>
          </w:tcPr>
          <w:p w14:paraId="5B1D30BA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89,9 %</w:t>
            </w:r>
          </w:p>
        </w:tc>
      </w:tr>
    </w:tbl>
    <w:p w14:paraId="6B1FEE29" w14:textId="77777777" w:rsidR="004D55F8" w:rsidRDefault="00000000">
      <w:r>
        <w:t>C) Impacto do OCR: nas fotografias reais (confiança média ~48 %) o veredicto obtido a partir da imagem é tipicamente menos grave do que o obtido a partir do texto limpo, evidenciando que a qualidade fotográfica é a principal fragilidade.</w:t>
      </w:r>
    </w:p>
    <w:p w14:paraId="43007961" w14:textId="77777777" w:rsidR="004D55F8" w:rsidRDefault="00000000">
      <w:r>
        <w:t>A análise de erros foi reveladora. Antes de alargar o léxico, os falsos negativos deviam-se sobretudo a rótulos em inglês e francês; juntar esses termos elevou a exatidão da avaliação B de ~88 % para 91,2 % e o recall de glúten de 80 % para ~90 %. Vários «falsos positivos» revelaram-se, na verdade, deteções corretas que o rótulo do Open Food Facts tinha omitido, pelo que a precisão real é superior à medida.</w:t>
      </w:r>
    </w:p>
    <w:p w14:paraId="043D5A08" w14:textId="77777777" w:rsidR="004D55F8" w:rsidRDefault="00000000">
      <w:pPr>
        <w:pStyle w:val="Ttulo1"/>
      </w:pPr>
      <w:r>
        <w:lastRenderedPageBreak/>
        <w:t>11. Reutilização dos conceitos das aulas</w:t>
      </w:r>
    </w:p>
    <w:p w14:paraId="40B38593" w14:textId="77777777" w:rsidR="004D55F8" w:rsidRDefault="00000000">
      <w:r>
        <w:t>Um requisito central foi demonstrar a aplicação prática da matéria. A tabela seguinte resume onde cada conceito foi usado.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D55F8" w14:paraId="5DAF229E" w14:textId="77777777" w:rsidTr="004D5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1839BC" w14:textId="77777777" w:rsidR="004D55F8" w:rsidRDefault="00000000">
            <w:r>
              <w:rPr>
                <w:sz w:val="19"/>
              </w:rPr>
              <w:t>Conceito lecionado</w:t>
            </w:r>
          </w:p>
        </w:tc>
        <w:tc>
          <w:tcPr>
            <w:tcW w:w="4320" w:type="dxa"/>
          </w:tcPr>
          <w:p w14:paraId="366BB943" w14:textId="77777777" w:rsidR="004D55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Onde foi aplicado</w:t>
            </w:r>
          </w:p>
        </w:tc>
      </w:tr>
      <w:tr w:rsidR="004D55F8" w14:paraId="7EBE230B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CFFB17" w14:textId="77777777" w:rsidR="004D55F8" w:rsidRDefault="00000000">
            <w:r>
              <w:rPr>
                <w:sz w:val="19"/>
              </w:rPr>
              <w:t>Teorema de Bayes / Naive Bayes</w:t>
            </w:r>
          </w:p>
        </w:tc>
        <w:tc>
          <w:tcPr>
            <w:tcW w:w="4320" w:type="dxa"/>
          </w:tcPr>
          <w:p w14:paraId="1FE06638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Classificador implementado de raiz</w:t>
            </w:r>
          </w:p>
        </w:tc>
      </w:tr>
      <w:tr w:rsidR="004D55F8" w14:paraId="67815111" w14:textId="77777777" w:rsidTr="004D55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535FBF" w14:textId="77777777" w:rsidR="004D55F8" w:rsidRDefault="00000000">
            <w:r>
              <w:rPr>
                <w:sz w:val="19"/>
              </w:rPr>
              <w:t>Distâncias Levenshtein, Jaccard, Hamming</w:t>
            </w:r>
          </w:p>
        </w:tc>
        <w:tc>
          <w:tcPr>
            <w:tcW w:w="4320" w:type="dxa"/>
          </w:tcPr>
          <w:p w14:paraId="1C8CFAE1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Correspondência difusa de texto de OCR</w:t>
            </w:r>
          </w:p>
        </w:tc>
      </w:tr>
      <w:tr w:rsidR="004D55F8" w14:paraId="45DA6B68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0FF661" w14:textId="77777777" w:rsidR="004D55F8" w:rsidRDefault="00000000">
            <w:r>
              <w:rPr>
                <w:sz w:val="19"/>
              </w:rPr>
              <w:t>train_test_split, fit, predict</w:t>
            </w:r>
          </w:p>
        </w:tc>
        <w:tc>
          <w:tcPr>
            <w:tcW w:w="4320" w:type="dxa"/>
          </w:tcPr>
          <w:p w14:paraId="6A6BD515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Treino dos classificadores</w:t>
            </w:r>
          </w:p>
        </w:tc>
      </w:tr>
      <w:tr w:rsidR="004D55F8" w14:paraId="533C9B8C" w14:textId="77777777" w:rsidTr="004D55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575A62" w14:textId="77777777" w:rsidR="004D55F8" w:rsidRDefault="00000000">
            <w:r>
              <w:rPr>
                <w:sz w:val="19"/>
              </w:rPr>
              <w:t>Validação cruzada K-Fold estratificada</w:t>
            </w:r>
          </w:p>
        </w:tc>
        <w:tc>
          <w:tcPr>
            <w:tcW w:w="4320" w:type="dxa"/>
          </w:tcPr>
          <w:p w14:paraId="1D334722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Estimativa robusta de desempenho</w:t>
            </w:r>
          </w:p>
        </w:tc>
      </w:tr>
      <w:tr w:rsidR="004D55F8" w14:paraId="5CB58A83" w14:textId="77777777" w:rsidTr="004D55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282C8A" w14:textId="77777777" w:rsidR="004D55F8" w:rsidRDefault="00000000">
            <w:r>
              <w:rPr>
                <w:sz w:val="19"/>
              </w:rPr>
              <w:t>Árvore de Decisão e Random Forest</w:t>
            </w:r>
          </w:p>
        </w:tc>
        <w:tc>
          <w:tcPr>
            <w:tcW w:w="4320" w:type="dxa"/>
          </w:tcPr>
          <w:p w14:paraId="3B418C70" w14:textId="77777777" w:rsidR="004D55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Modelos comparados (scikit-learn)</w:t>
            </w:r>
          </w:p>
        </w:tc>
      </w:tr>
      <w:tr w:rsidR="004D55F8" w14:paraId="1D894CAF" w14:textId="77777777" w:rsidTr="004D55F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8FBE06" w14:textId="77777777" w:rsidR="004D55F8" w:rsidRDefault="00000000">
            <w:r>
              <w:rPr>
                <w:sz w:val="19"/>
              </w:rPr>
              <w:t>Matriz de confusão e métricas</w:t>
            </w:r>
          </w:p>
        </w:tc>
        <w:tc>
          <w:tcPr>
            <w:tcW w:w="4320" w:type="dxa"/>
          </w:tcPr>
          <w:p w14:paraId="1479BE61" w14:textId="77777777" w:rsidR="004D55F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Avaliação (código confusion_matrix2 do professor)</w:t>
            </w:r>
          </w:p>
        </w:tc>
      </w:tr>
    </w:tbl>
    <w:p w14:paraId="374F86F4" w14:textId="77777777" w:rsidR="004D55F8" w:rsidRDefault="00000000">
      <w:r>
        <w:rPr>
          <w:sz w:val="20"/>
        </w:rPr>
        <w:t>O código de matriz de confusão fornecido nas aulas foi reutilizado literalmente, tanto na comparação de modelos (Fase 5) como na validação final (Fase 8), garantindo coerência entre o que foi ensinado e o que foi medido.</w:t>
      </w:r>
    </w:p>
    <w:p w14:paraId="00F90D05" w14:textId="77777777" w:rsidR="004D55F8" w:rsidRDefault="00000000">
      <w:pPr>
        <w:pStyle w:val="Ttulo1"/>
      </w:pPr>
      <w:r>
        <w:t>12. Limitações</w:t>
      </w:r>
    </w:p>
    <w:p w14:paraId="6D752C24" w14:textId="77777777" w:rsidR="004D55F8" w:rsidRDefault="00000000">
      <w:pPr>
        <w:pStyle w:val="Listacommarcas"/>
      </w:pPr>
      <w:r>
        <w:t>O OCR é a maior fonte de erro: em fotografias de baixa qualidade parte do texto não é recuperada e o veredicto tende a subestimar o risco.</w:t>
      </w:r>
    </w:p>
    <w:p w14:paraId="432B4B2E" w14:textId="77777777" w:rsidR="004D55F8" w:rsidRDefault="00000000">
      <w:pPr>
        <w:pStyle w:val="Listacommarcas"/>
      </w:pPr>
      <w:r>
        <w:t>O léxico cobre português, inglês e francês; outras línguas (italiano, espanhol) ainda geram falsos negativos.</w:t>
      </w:r>
    </w:p>
    <w:p w14:paraId="6EEFEA84" w14:textId="77777777" w:rsidR="004D55F8" w:rsidRDefault="00000000">
      <w:pPr>
        <w:pStyle w:val="Listacommarcas"/>
      </w:pPr>
      <w:r>
        <w:t>A correspondência difusa favorece o recall (mais seguro sobre-assinalar risco), o que introduz alguns falsos positivos.</w:t>
      </w:r>
    </w:p>
    <w:p w14:paraId="0504BCBF" w14:textId="77777777" w:rsidR="004D55F8" w:rsidRDefault="00000000">
      <w:pPr>
        <w:pStyle w:val="Listacommarcas"/>
      </w:pPr>
      <w:r>
        <w:t>Os classificadores usam rótulos gerados pelas próprias regras (supervisão fraca): medem a capacidade de reproduzir as regras, não um juízo humano independente.</w:t>
      </w:r>
    </w:p>
    <w:p w14:paraId="21C9A95B" w14:textId="77777777" w:rsidR="004D55F8" w:rsidRDefault="00000000">
      <w:pPr>
        <w:pStyle w:val="Listacommarcas"/>
      </w:pPr>
      <w:r>
        <w:t>O rótulo de alergénios usado como referência na Fase 8 é preenchido por contribuidores e tem omissões, o que adiciona ruído à medição.</w:t>
      </w:r>
    </w:p>
    <w:p w14:paraId="5072C3DA" w14:textId="77777777" w:rsidR="004D55F8" w:rsidRDefault="00000000">
      <w:pPr>
        <w:pStyle w:val="Ttulo1"/>
      </w:pPr>
      <w:r>
        <w:t>13. Conclusão — considerações finais e aprendizagem</w:t>
      </w:r>
    </w:p>
    <w:p w14:paraId="5DD05A16" w14:textId="77777777" w:rsidR="004D55F8" w:rsidRDefault="00000000">
      <w:r>
        <w:t>Cumprimos todos os objetivos do enunciado: construímos uma aplicação que recebe a fotografia de um rótulo e produz uma análise automática, explicável e justificada do risco de glúten e de alergénios, com resultados sólidos (91,2 % de exatidão na deteção de glúten sobre texto real).</w:t>
      </w:r>
    </w:p>
    <w:p w14:paraId="1D1CDA4E" w14:textId="77777777" w:rsidR="004D55F8" w:rsidRDefault="00000000">
      <w:r>
        <w:t>A principal aprendizagem foi confirmar que, para um problema bem delimitado, uma arquitetura clássica e modular pode ser mais adequada — e muito mais transparente — do que uma solução monolítica de grande dimensão. Cada peça (OCR, PLN, regras, classificadores) resolve uma parte do problema e pode ser validada isoladamente, o que facilitou o desenvolvimento e a deteção de erros.</w:t>
      </w:r>
    </w:p>
    <w:p w14:paraId="76EFB3C8" w14:textId="77777777" w:rsidR="004D55F8" w:rsidRDefault="00000000">
      <w:r>
        <w:t xml:space="preserve">Aprendemos também a importância de uma avaliação honesta. Ao medir o pipeline contra um rótulo independente, em vez dos rótulos gerados pelas nossas próprias regras, evitámos uma avaliação circular e expusemos as verdadeiras fragilidades — desde logo a cobertura linguística </w:t>
      </w:r>
      <w:r>
        <w:lastRenderedPageBreak/>
        <w:t>do léxico, que corrigimos e cuja melhoria pudémos quantificar. A própria análise de erros ensinou-nos a distinguir falhas do sistema de omissões dos dados de origem.</w:t>
      </w:r>
    </w:p>
    <w:p w14:paraId="64D0EA81" w14:textId="77777777" w:rsidR="004D55F8" w:rsidRDefault="00000000">
      <w:r>
        <w:t>Do ponto de vista dos conteúdos, o projeto consolidou a compreensão do Teorema de Bayes (ao implementar o Naive Bayes de raiz), das métricas de distância em PLN, do protocolo de treino e validação (train/test, K-Fold) e da leitura de uma matriz de confusão. Por fim, num domínio ligado à saúde, interiorizámos que a explicabilidade não é um extra mas um requisito: um sistema que aconselha sobre alimentos tem de justificar cada decisão para ser digno de confiança.</w:t>
      </w:r>
    </w:p>
    <w:p w14:paraId="3DC1319A" w14:textId="77777777" w:rsidR="004D55F8" w:rsidRDefault="00000000">
      <w:r>
        <w:t>Como trabalho futuro, identificamos o reforço do OCR, o alargamento do léxico a mais línguas e a recolha de um pequeno conjunto de rótulos com verdade anotada por humanos, que permitiria uma avaliação ainda mais rigorosa.</w:t>
      </w:r>
    </w:p>
    <w:sectPr w:rsidR="004D55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4506293">
    <w:abstractNumId w:val="8"/>
  </w:num>
  <w:num w:numId="2" w16cid:durableId="1756366935">
    <w:abstractNumId w:val="6"/>
  </w:num>
  <w:num w:numId="3" w16cid:durableId="1958680825">
    <w:abstractNumId w:val="5"/>
  </w:num>
  <w:num w:numId="4" w16cid:durableId="1272054696">
    <w:abstractNumId w:val="4"/>
  </w:num>
  <w:num w:numId="5" w16cid:durableId="1671907114">
    <w:abstractNumId w:val="7"/>
  </w:num>
  <w:num w:numId="6" w16cid:durableId="913779111">
    <w:abstractNumId w:val="3"/>
  </w:num>
  <w:num w:numId="7" w16cid:durableId="930165266">
    <w:abstractNumId w:val="2"/>
  </w:num>
  <w:num w:numId="8" w16cid:durableId="1312366371">
    <w:abstractNumId w:val="1"/>
  </w:num>
  <w:num w:numId="9" w16cid:durableId="975060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AF"/>
    <w:rsid w:val="004D55F8"/>
    <w:rsid w:val="006348ED"/>
    <w:rsid w:val="00A02D0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910B34"/>
  <w14:defaultImageDpi w14:val="300"/>
  <w15:docId w15:val="{EE62EF64-571F-4599-AAB2-A42BBA9A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2175</Words>
  <Characters>11746</Characters>
  <Application>Microsoft Office Word</Application>
  <DocSecurity>0</DocSecurity>
  <Lines>97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Caio Roberto Rosa</cp:lastModifiedBy>
  <cp:revision>3</cp:revision>
  <dcterms:created xsi:type="dcterms:W3CDTF">2013-12-23T23:15:00Z</dcterms:created>
  <dcterms:modified xsi:type="dcterms:W3CDTF">2026-06-01T10:32:00Z</dcterms:modified>
  <cp:category/>
</cp:coreProperties>
</file>