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7F6E" w14:textId="5C1CAB70" w:rsidR="00B87683" w:rsidRDefault="00B87683" w:rsidP="00B87683">
      <w:pPr>
        <w:pStyle w:val="Commarcadores"/>
        <w:numPr>
          <w:ilvl w:val="0"/>
          <w:numId w:val="0"/>
        </w:numPr>
        <w:ind w:left="936"/>
        <w:jc w:val="center"/>
        <w:rPr>
          <w:sz w:val="22"/>
          <w:szCs w:val="22"/>
        </w:rPr>
      </w:pPr>
      <w:r w:rsidRPr="00B87683">
        <w:rPr>
          <w:noProof/>
          <w:sz w:val="20"/>
          <w:szCs w:val="20"/>
        </w:rPr>
        <w:drawing>
          <wp:inline distT="0" distB="0" distL="0" distR="0" wp14:anchorId="5A1BB475" wp14:editId="6D7987E7">
            <wp:extent cx="2499360" cy="2160147"/>
            <wp:effectExtent l="0" t="0" r="0" b="0"/>
            <wp:docPr id="4112471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94" cy="217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846F8" w14:textId="77777777" w:rsidR="00B87683" w:rsidRDefault="00B87683" w:rsidP="00B87683">
      <w:pPr>
        <w:pStyle w:val="Commarcadores"/>
        <w:numPr>
          <w:ilvl w:val="0"/>
          <w:numId w:val="0"/>
        </w:numPr>
        <w:ind w:left="936"/>
        <w:jc w:val="center"/>
        <w:rPr>
          <w:sz w:val="22"/>
          <w:szCs w:val="22"/>
        </w:rPr>
      </w:pPr>
    </w:p>
    <w:p w14:paraId="489C417D" w14:textId="77777777" w:rsidR="00B87683" w:rsidRDefault="00B87683" w:rsidP="00B87683">
      <w:pPr>
        <w:pStyle w:val="Commarcadores"/>
        <w:numPr>
          <w:ilvl w:val="0"/>
          <w:numId w:val="0"/>
        </w:numPr>
        <w:ind w:left="936"/>
        <w:jc w:val="center"/>
        <w:rPr>
          <w:sz w:val="22"/>
          <w:szCs w:val="22"/>
        </w:rPr>
      </w:pPr>
    </w:p>
    <w:p w14:paraId="03E38CB8" w14:textId="77777777" w:rsidR="00B87683" w:rsidRPr="00B87683" w:rsidRDefault="00B87683" w:rsidP="00B87683">
      <w:pPr>
        <w:pStyle w:val="Commarcadores"/>
        <w:numPr>
          <w:ilvl w:val="0"/>
          <w:numId w:val="0"/>
        </w:numPr>
        <w:ind w:left="936"/>
        <w:jc w:val="center"/>
        <w:rPr>
          <w:sz w:val="22"/>
          <w:szCs w:val="22"/>
        </w:rPr>
      </w:pPr>
    </w:p>
    <w:p w14:paraId="2DE143E7" w14:textId="60971479" w:rsidR="00B87683" w:rsidRP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  <w:r w:rsidRPr="00B87683">
        <w:rPr>
          <w:sz w:val="22"/>
          <w:szCs w:val="22"/>
        </w:rPr>
        <w:t>Projeto</w:t>
      </w:r>
      <w:r>
        <w:rPr>
          <w:sz w:val="22"/>
          <w:szCs w:val="22"/>
        </w:rPr>
        <w:t xml:space="preserve"> SEATOOLS</w:t>
      </w:r>
      <w:r w:rsidRPr="00B87683">
        <w:rPr>
          <w:sz w:val="22"/>
          <w:szCs w:val="22"/>
        </w:rPr>
        <w:t>: Facilitador de Cálculos de Proporcional de Consumo</w:t>
      </w:r>
      <w:r>
        <w:rPr>
          <w:sz w:val="22"/>
          <w:szCs w:val="22"/>
        </w:rPr>
        <w:t>,</w:t>
      </w:r>
      <w:r w:rsidRPr="00B87683">
        <w:rPr>
          <w:sz w:val="22"/>
          <w:szCs w:val="22"/>
        </w:rPr>
        <w:t xml:space="preserve"> Vencimentos</w:t>
      </w:r>
      <w:r>
        <w:rPr>
          <w:sz w:val="22"/>
          <w:szCs w:val="22"/>
        </w:rPr>
        <w:t xml:space="preserve"> e Comentarios. </w:t>
      </w:r>
    </w:p>
    <w:p w14:paraId="35F6BD73" w14:textId="77777777" w:rsidR="00B87683" w:rsidRP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</w:p>
    <w:p w14:paraId="2D182E8B" w14:textId="276CC56B" w:rsid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  <w:r w:rsidRPr="00B87683">
        <w:rPr>
          <w:sz w:val="22"/>
          <w:szCs w:val="22"/>
        </w:rPr>
        <w:t>Versão 1.0</w:t>
      </w:r>
    </w:p>
    <w:p w14:paraId="7988B01E" w14:textId="77777777" w:rsid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</w:p>
    <w:p w14:paraId="2BFBB310" w14:textId="77777777" w:rsid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</w:p>
    <w:p w14:paraId="05703EB8" w14:textId="77777777" w:rsidR="00B87683" w:rsidRDefault="00B87683" w:rsidP="00B87683">
      <w:pPr>
        <w:pStyle w:val="Commarcadores"/>
        <w:numPr>
          <w:ilvl w:val="0"/>
          <w:numId w:val="0"/>
        </w:numPr>
        <w:rPr>
          <w:sz w:val="22"/>
          <w:szCs w:val="22"/>
        </w:rPr>
      </w:pPr>
    </w:p>
    <w:p w14:paraId="40782235" w14:textId="77777777" w:rsidR="00B87683" w:rsidRDefault="00B87683" w:rsidP="00B87683">
      <w:pPr>
        <w:pStyle w:val="Commarcadores"/>
        <w:numPr>
          <w:ilvl w:val="0"/>
          <w:numId w:val="0"/>
        </w:numPr>
        <w:rPr>
          <w:sz w:val="22"/>
          <w:szCs w:val="22"/>
        </w:rPr>
      </w:pPr>
    </w:p>
    <w:p w14:paraId="345824F6" w14:textId="77777777" w:rsidR="00B87683" w:rsidRDefault="00B87683" w:rsidP="00B87683">
      <w:pPr>
        <w:pStyle w:val="Commarcadores"/>
        <w:numPr>
          <w:ilvl w:val="0"/>
          <w:numId w:val="0"/>
        </w:numPr>
        <w:rPr>
          <w:sz w:val="22"/>
          <w:szCs w:val="22"/>
        </w:rPr>
      </w:pPr>
    </w:p>
    <w:p w14:paraId="64BA8610" w14:textId="77777777" w:rsidR="00B87683" w:rsidRDefault="00B87683" w:rsidP="00B87683">
      <w:pPr>
        <w:pStyle w:val="Commarcadores"/>
        <w:numPr>
          <w:ilvl w:val="0"/>
          <w:numId w:val="0"/>
        </w:numPr>
        <w:rPr>
          <w:sz w:val="22"/>
          <w:szCs w:val="22"/>
        </w:rPr>
      </w:pPr>
    </w:p>
    <w:p w14:paraId="5E2D001A" w14:textId="77777777" w:rsidR="00B87683" w:rsidRPr="00B87683" w:rsidRDefault="00B87683" w:rsidP="00B87683">
      <w:pPr>
        <w:pStyle w:val="Commarcadores"/>
        <w:numPr>
          <w:ilvl w:val="0"/>
          <w:numId w:val="0"/>
        </w:numPr>
        <w:rPr>
          <w:sz w:val="22"/>
          <w:szCs w:val="22"/>
        </w:rPr>
      </w:pPr>
    </w:p>
    <w:p w14:paraId="7990C751" w14:textId="423B6C01" w:rsidR="00B87683" w:rsidRP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  <w:r w:rsidRPr="00B87683">
        <w:rPr>
          <w:sz w:val="22"/>
          <w:szCs w:val="22"/>
        </w:rPr>
        <w:t>Equipe Responsável:</w:t>
      </w:r>
    </w:p>
    <w:p w14:paraId="55A8227E" w14:textId="77777777" w:rsid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  <w:r>
        <w:rPr>
          <w:sz w:val="22"/>
          <w:szCs w:val="22"/>
        </w:rPr>
        <w:t>Caio Lira</w:t>
      </w:r>
    </w:p>
    <w:p w14:paraId="2C24484A" w14:textId="51C50FDE" w:rsidR="00B87683" w:rsidRP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  <w:r>
        <w:rPr>
          <w:sz w:val="22"/>
          <w:szCs w:val="22"/>
        </w:rPr>
        <w:t>Ewdson Tiago</w:t>
      </w:r>
    </w:p>
    <w:p w14:paraId="06F5F882" w14:textId="6617074E" w:rsidR="00B87683" w:rsidRP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  <w:r>
        <w:rPr>
          <w:sz w:val="22"/>
          <w:szCs w:val="22"/>
        </w:rPr>
        <w:t>Sabrina Santana</w:t>
      </w:r>
    </w:p>
    <w:p w14:paraId="34525281" w14:textId="77777777" w:rsidR="00B87683" w:rsidRP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</w:p>
    <w:p w14:paraId="054C138B" w14:textId="5DED4657" w:rsid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</w:p>
    <w:p w14:paraId="2A1DB396" w14:textId="77777777" w:rsid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</w:p>
    <w:p w14:paraId="2DCEDCC6" w14:textId="77777777" w:rsid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</w:p>
    <w:p w14:paraId="4977C69D" w14:textId="77777777" w:rsid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  <w:r w:rsidRPr="00B87683">
        <w:rPr>
          <w:sz w:val="22"/>
          <w:szCs w:val="22"/>
        </w:rPr>
        <w:t xml:space="preserve">Documentação Atualizada em: </w:t>
      </w:r>
      <w:r>
        <w:rPr>
          <w:sz w:val="22"/>
          <w:szCs w:val="22"/>
        </w:rPr>
        <w:t>24/01/2024</w:t>
      </w:r>
    </w:p>
    <w:p w14:paraId="3D719541" w14:textId="77777777" w:rsid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</w:p>
    <w:p w14:paraId="55CCF7FF" w14:textId="77777777" w:rsid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</w:p>
    <w:p w14:paraId="0CF85A9B" w14:textId="77777777" w:rsidR="00B87683" w:rsidRDefault="00B87683" w:rsidP="00B87683">
      <w:pPr>
        <w:pStyle w:val="Commarcadores"/>
        <w:numPr>
          <w:ilvl w:val="0"/>
          <w:numId w:val="0"/>
        </w:numPr>
        <w:ind w:left="936"/>
        <w:rPr>
          <w:sz w:val="22"/>
          <w:szCs w:val="22"/>
        </w:rPr>
      </w:pPr>
    </w:p>
    <w:p w14:paraId="2D2E1FE2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1. Visão Geral do Projeto</w:t>
      </w:r>
    </w:p>
    <w:p w14:paraId="5D89F94A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O projeto em questão visa desenvolver uma ferramenta abrangente destinada a otimizar e facilitar os processos operacionais relacionados ao cálculo de proporcional de consumo e vencimentos de 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lastRenderedPageBreak/>
        <w:t>clientes. Este sistema surge como uma solução eficiente para os operadores, simplificando tarefas repetitivas e proporcionando uma gestão mais eficaz da informação em protocolo.</w:t>
      </w:r>
    </w:p>
    <w:p w14:paraId="112D8412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1.1 Objetivo</w:t>
      </w:r>
    </w:p>
    <w:p w14:paraId="1A306781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color w:val="374151"/>
          <w:lang w:val="pt-BR" w:eastAsia="pt-BR"/>
        </w:rPr>
        <w:t>O principal objetivo deste projeto é criar uma plataforma intuitiva que permita aos operadores realizar cálculos precisos de proporcionalidade de consumo, bem como efetuar mudanças nos vencimentos dos clientes de forma ágil e confiável. Ao automatizar esses processos, a ferramenta visa reduzir erros, aumentar a eficiência operacional e melhorar a satisfação do cliente.</w:t>
      </w:r>
    </w:p>
    <w:p w14:paraId="4DFF85D9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1.2 Benefícios Esperados</w:t>
      </w:r>
    </w:p>
    <w:p w14:paraId="5EBEA255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color w:val="374151"/>
          <w:lang w:val="pt-BR" w:eastAsia="pt-BR"/>
        </w:rPr>
        <w:t>Ao implementar esta ferramenta, almeja-se alcançar os seguintes benefícios:</w:t>
      </w:r>
    </w:p>
    <w:p w14:paraId="5266822D" w14:textId="77777777" w:rsidR="00501453" w:rsidRPr="00501453" w:rsidRDefault="00501453" w:rsidP="0050145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Eficiência Operacional: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Automatização de cálculos complexos, reduzindo o tempo gasto em tarefas manuais.</w:t>
      </w:r>
    </w:p>
    <w:p w14:paraId="419CD662" w14:textId="77777777" w:rsidR="00501453" w:rsidRPr="00501453" w:rsidRDefault="00501453" w:rsidP="0050145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Precisão: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Minimização de erros humanos, garantindo a precisão nos processos de cálculo e ajuste de vencimentos.</w:t>
      </w:r>
    </w:p>
    <w:p w14:paraId="38D945DE" w14:textId="77777777" w:rsidR="00501453" w:rsidRPr="00501453" w:rsidRDefault="00501453" w:rsidP="0050145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Atendimento Aprimorado: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Melhoria na resposta aos clientes, permitindo ajustes rápidos e transparentes em seus contratos.</w:t>
      </w:r>
    </w:p>
    <w:p w14:paraId="025A2E71" w14:textId="77777777" w:rsidR="00501453" w:rsidRPr="00501453" w:rsidRDefault="00501453" w:rsidP="00501453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lastRenderedPageBreak/>
        <w:t>Facilidade de Uso: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Interface amigável para operadores, promovendo uma curva de aprendizado rápida.</w:t>
      </w:r>
    </w:p>
    <w:p w14:paraId="58B461E4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1.3 Contexto do Projeto</w:t>
      </w:r>
    </w:p>
    <w:p w14:paraId="1B1C548E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color w:val="374151"/>
          <w:lang w:val="pt-BR" w:eastAsia="pt-BR"/>
        </w:rPr>
        <w:t>O contexto para o desenvolvimento desta ferramenta surgiu da necessidade de aprimorar a eficiência operacional da empresa, proporcionando uma solução centralizada para lidar com os desafios associados aos cálculos proporcionais de consumo e alterações nos vencimentos dos clientes de serviços de internet.</w:t>
      </w:r>
    </w:p>
    <w:p w14:paraId="28E48535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1.4 Público-Alvo</w:t>
      </w:r>
    </w:p>
    <w:p w14:paraId="61D70FE1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color w:val="374151"/>
          <w:lang w:val="pt-BR" w:eastAsia="pt-BR"/>
        </w:rPr>
        <w:t>A ferramenta destina-se principalmente a operadores e profissionais responsáveis pelo atendimento ao cliente. Especificamente, é projetada para aqueles que abrem protocolos e registram neles informações essenciais relacionadas ao consumo do cliente.</w:t>
      </w:r>
    </w:p>
    <w:p w14:paraId="12890B79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2. Requisitos</w:t>
      </w:r>
    </w:p>
    <w:p w14:paraId="2E89E78A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2.1 Requisitos Funcionais</w:t>
      </w:r>
    </w:p>
    <w:p w14:paraId="7B847704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2.1.1 Funcionalidade de Cálculo de Troca de Plano:</w:t>
      </w:r>
    </w:p>
    <w:p w14:paraId="23D6C526" w14:textId="77777777" w:rsidR="00501453" w:rsidRPr="00501453" w:rsidRDefault="00501453" w:rsidP="0050145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lastRenderedPageBreak/>
        <w:t>Descrição: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A ferramenta deve permitir que operadores calculem a troca de plano para clientes, considerando o valor de seu plano atual e futuro, em relação a data de seu vencimento.</w:t>
      </w:r>
    </w:p>
    <w:p w14:paraId="0155FD7A" w14:textId="77777777" w:rsidR="00501453" w:rsidRPr="00501453" w:rsidRDefault="00501453" w:rsidP="00501453">
      <w:pPr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t>Comportamento Esperado: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Ao selecionar a opção de cálculo de troca de plano, o sistema deve fornecer campos para inserção de informações relevantes e gerar o resultado do cálculo.</w:t>
      </w:r>
    </w:p>
    <w:p w14:paraId="5AE9ED69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2.1.2 Funcionalidade de Cálculo de Troca de Vencimento:</w:t>
      </w:r>
    </w:p>
    <w:p w14:paraId="5B45C8E9" w14:textId="77777777" w:rsidR="00501453" w:rsidRPr="00501453" w:rsidRDefault="00501453" w:rsidP="00501453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t>Descrição: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A ferramenta deve possibilitar o cálculo para a troca de vencimento de clientes, considerando variáveis como datas específicas e condições contratuais.</w:t>
      </w:r>
    </w:p>
    <w:p w14:paraId="1F3969F0" w14:textId="77777777" w:rsidR="00501453" w:rsidRPr="00501453" w:rsidRDefault="00501453" w:rsidP="00501453">
      <w:pPr>
        <w:numPr>
          <w:ilvl w:val="0"/>
          <w:numId w:val="3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t>Comportamento Esperado: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Ao acessar a funcionalidade de cálculo de troca de vencimento, os operadores devem inserir os parâmetros necessários, e a ferramenta deve gerar o resultado do cálculo.</w:t>
      </w:r>
    </w:p>
    <w:p w14:paraId="78A1E71D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2.1.3 Gerador de Máscaras de Serviço:</w:t>
      </w:r>
    </w:p>
    <w:p w14:paraId="762C35F3" w14:textId="77777777" w:rsidR="00501453" w:rsidRPr="00501453" w:rsidRDefault="00501453" w:rsidP="00501453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t>Descrição: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A ferramenta deve incluir uma funcionalidade para gerar máscaras de serviço, simplificando o processo para os operadores.</w:t>
      </w:r>
    </w:p>
    <w:p w14:paraId="191E9335" w14:textId="77777777" w:rsidR="00501453" w:rsidRPr="00501453" w:rsidRDefault="00501453" w:rsidP="00501453">
      <w:pPr>
        <w:numPr>
          <w:ilvl w:val="0"/>
          <w:numId w:val="3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lastRenderedPageBreak/>
        <w:t>Comportamento Esperado: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Ao utilizar o gerador de máscaras de serviço, os operadores devem ter a capacidade de personalizar e gerar máscaras de forma eficiente.</w:t>
      </w:r>
    </w:p>
    <w:p w14:paraId="45020955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2.1.4 Gerador de Comentários para Protocolos:</w:t>
      </w:r>
    </w:p>
    <w:p w14:paraId="7A2CDABE" w14:textId="77777777" w:rsidR="00501453" w:rsidRPr="00501453" w:rsidRDefault="00501453" w:rsidP="00501453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t>Descrição: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A ferramenta deve permitir que os operadores gerem comentários para protocolos de atendimento.</w:t>
      </w:r>
    </w:p>
    <w:p w14:paraId="25D09533" w14:textId="77777777" w:rsidR="00501453" w:rsidRPr="00501453" w:rsidRDefault="00501453" w:rsidP="00501453">
      <w:pPr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t>Comportamento Esperado: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Ao utilizar a funcionalidade de gerar comentários, os operadores devem ter a capacidade de criar comentários relevantes, os quais podem ser copiados para os protocolos.</w:t>
      </w:r>
    </w:p>
    <w:p w14:paraId="4DF887D7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2.2 Requisitos Não Funcionais</w:t>
      </w:r>
    </w:p>
    <w:p w14:paraId="5280136E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2.2.1 Usabilidade:</w:t>
      </w:r>
    </w:p>
    <w:p w14:paraId="16763203" w14:textId="77777777" w:rsidR="00501453" w:rsidRPr="00501453" w:rsidRDefault="00501453" w:rsidP="00501453">
      <w:pPr>
        <w:numPr>
          <w:ilvl w:val="0"/>
          <w:numId w:val="3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t>Descrição: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A interface da ferramenta deve ser intuitiva e amigável, proporcionando uma experiência agradável para operadores de diferentes níveis de habilidade técnica.</w:t>
      </w:r>
    </w:p>
    <w:p w14:paraId="4F6968C4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2.2.2 Manutenibilidade:</w:t>
      </w:r>
    </w:p>
    <w:p w14:paraId="19E51294" w14:textId="77777777" w:rsidR="00501453" w:rsidRPr="00501453" w:rsidRDefault="00501453" w:rsidP="00501453">
      <w:pPr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lastRenderedPageBreak/>
        <w:t>Descrição: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O código-fonte e a arquitetura da ferramenta devem ser estruturados de maneira que facilite a manutenção e futuras atualizações.</w:t>
      </w:r>
    </w:p>
    <w:p w14:paraId="04067669" w14:textId="77777777" w:rsidR="00501453" w:rsidRPr="00501453" w:rsidRDefault="00501453" w:rsidP="0050145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b/>
          <w:bCs/>
          <w:color w:val="374151"/>
          <w:bdr w:val="single" w:sz="2" w:space="0" w:color="D9D9E3" w:frame="1"/>
          <w:lang w:val="pt-BR" w:eastAsia="pt-BR"/>
        </w:rPr>
        <w:t>2.3 Dependências e Tecnologias:</w:t>
      </w:r>
    </w:p>
    <w:p w14:paraId="06F947EE" w14:textId="77777777" w:rsidR="00501453" w:rsidRPr="00501453" w:rsidRDefault="00501453" w:rsidP="00501453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t>Linguagens de Programação: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Python, HTML, CSS, </w:t>
      </w:r>
      <w:proofErr w:type="spellStart"/>
      <w:r w:rsidRPr="00501453">
        <w:rPr>
          <w:rFonts w:ascii="Segoe UI" w:eastAsia="Times New Roman" w:hAnsi="Segoe UI" w:cs="Segoe UI"/>
          <w:color w:val="374151"/>
          <w:lang w:val="pt-BR" w:eastAsia="pt-BR"/>
        </w:rPr>
        <w:t>JavaScript</w:t>
      </w:r>
      <w:proofErr w:type="spellEnd"/>
    </w:p>
    <w:p w14:paraId="24492844" w14:textId="77777777" w:rsidR="00501453" w:rsidRPr="00501453" w:rsidRDefault="00501453" w:rsidP="00501453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t>Framework Web: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</w:t>
      </w:r>
      <w:proofErr w:type="spellStart"/>
      <w:r w:rsidRPr="00501453">
        <w:rPr>
          <w:rFonts w:ascii="Segoe UI" w:eastAsia="Times New Roman" w:hAnsi="Segoe UI" w:cs="Segoe UI"/>
          <w:color w:val="374151"/>
          <w:lang w:val="pt-BR" w:eastAsia="pt-BR"/>
        </w:rPr>
        <w:t>Flask</w:t>
      </w:r>
      <w:proofErr w:type="spellEnd"/>
    </w:p>
    <w:p w14:paraId="259A7206" w14:textId="77777777" w:rsidR="00501453" w:rsidRPr="00501453" w:rsidRDefault="00501453" w:rsidP="00501453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t>Banco de Dados: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</w:t>
      </w:r>
      <w:proofErr w:type="gramStart"/>
      <w:r w:rsidRPr="00501453">
        <w:rPr>
          <w:rFonts w:ascii="Segoe UI" w:eastAsia="Times New Roman" w:hAnsi="Segoe UI" w:cs="Segoe UI"/>
          <w:color w:val="374151"/>
          <w:lang w:val="pt-BR" w:eastAsia="pt-BR"/>
        </w:rPr>
        <w:t>[Ainda</w:t>
      </w:r>
      <w:proofErr w:type="gramEnd"/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a ser escolhido]</w:t>
      </w:r>
    </w:p>
    <w:p w14:paraId="3115284C" w14:textId="77777777" w:rsidR="00501453" w:rsidRPr="00501453" w:rsidRDefault="00501453" w:rsidP="00501453">
      <w:pPr>
        <w:numPr>
          <w:ilvl w:val="0"/>
          <w:numId w:val="4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after="0" w:line="240" w:lineRule="auto"/>
        <w:rPr>
          <w:rFonts w:ascii="Segoe UI" w:eastAsia="Times New Roman" w:hAnsi="Segoe UI" w:cs="Segoe UI"/>
          <w:color w:val="374151"/>
          <w:lang w:val="pt-BR" w:eastAsia="pt-BR"/>
        </w:rPr>
      </w:pPr>
      <w:r w:rsidRPr="00501453">
        <w:rPr>
          <w:rFonts w:ascii="Segoe UI" w:eastAsia="Times New Roman" w:hAnsi="Segoe UI" w:cs="Segoe UI"/>
          <w:i/>
          <w:iCs/>
          <w:color w:val="374151"/>
          <w:bdr w:val="single" w:sz="2" w:space="0" w:color="D9D9E3" w:frame="1"/>
          <w:lang w:val="pt-BR" w:eastAsia="pt-BR"/>
        </w:rPr>
        <w:t>Outras Dependências:</w:t>
      </w:r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</w:t>
      </w:r>
      <w:proofErr w:type="gramStart"/>
      <w:r w:rsidRPr="00501453">
        <w:rPr>
          <w:rFonts w:ascii="Segoe UI" w:eastAsia="Times New Roman" w:hAnsi="Segoe UI" w:cs="Segoe UI"/>
          <w:color w:val="374151"/>
          <w:lang w:val="pt-BR" w:eastAsia="pt-BR"/>
        </w:rPr>
        <w:t>[Listar</w:t>
      </w:r>
      <w:proofErr w:type="gramEnd"/>
      <w:r w:rsidRPr="00501453">
        <w:rPr>
          <w:rFonts w:ascii="Segoe UI" w:eastAsia="Times New Roman" w:hAnsi="Segoe UI" w:cs="Segoe UI"/>
          <w:color w:val="374151"/>
          <w:lang w:val="pt-BR" w:eastAsia="pt-BR"/>
        </w:rPr>
        <w:t xml:space="preserve"> quaisquer outras bibliotecas ou ferramentas necessárias]</w:t>
      </w:r>
    </w:p>
    <w:p w14:paraId="118D28BA" w14:textId="77777777" w:rsidR="00EF1315" w:rsidRPr="00A05564" w:rsidRDefault="00EF1315" w:rsidP="00A0556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1"/>
        <w:rPr>
          <w:sz w:val="22"/>
          <w:szCs w:val="22"/>
        </w:rPr>
      </w:pPr>
    </w:p>
    <w:sectPr w:rsidR="00EF1315" w:rsidRPr="00A05564">
      <w:footerReference w:type="default" r:id="rId8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7A96E" w14:textId="77777777" w:rsidR="00B87683" w:rsidRDefault="00B87683">
      <w:pPr>
        <w:spacing w:before="0" w:after="0" w:line="240" w:lineRule="auto"/>
      </w:pPr>
      <w:r>
        <w:separator/>
      </w:r>
    </w:p>
    <w:p w14:paraId="090BAF6A" w14:textId="77777777" w:rsidR="00B87683" w:rsidRDefault="00B87683"/>
  </w:endnote>
  <w:endnote w:type="continuationSeparator" w:id="0">
    <w:p w14:paraId="7F17B172" w14:textId="77777777" w:rsidR="00B87683" w:rsidRDefault="00B87683">
      <w:pPr>
        <w:spacing w:before="0" w:after="0" w:line="240" w:lineRule="auto"/>
      </w:pPr>
      <w:r>
        <w:continuationSeparator/>
      </w:r>
    </w:p>
    <w:p w14:paraId="4AFF6AC9" w14:textId="77777777" w:rsidR="00B87683" w:rsidRDefault="00B876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04B702" w14:textId="77777777" w:rsidR="00D4304F" w:rsidRDefault="00D651B9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46035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1C5B" w14:textId="77777777" w:rsidR="00B87683" w:rsidRDefault="00B87683">
      <w:pPr>
        <w:spacing w:before="0" w:after="0" w:line="240" w:lineRule="auto"/>
      </w:pPr>
      <w:r>
        <w:separator/>
      </w:r>
    </w:p>
    <w:p w14:paraId="25948E13" w14:textId="77777777" w:rsidR="00B87683" w:rsidRDefault="00B87683"/>
  </w:footnote>
  <w:footnote w:type="continuationSeparator" w:id="0">
    <w:p w14:paraId="6360E29A" w14:textId="77777777" w:rsidR="00B87683" w:rsidRDefault="00B87683">
      <w:pPr>
        <w:spacing w:before="0" w:after="0" w:line="240" w:lineRule="auto"/>
      </w:pPr>
      <w:r>
        <w:continuationSeparator/>
      </w:r>
    </w:p>
    <w:p w14:paraId="16E20F81" w14:textId="77777777" w:rsidR="00B87683" w:rsidRDefault="00B8768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69D6C87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Numerad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179A0"/>
    <w:multiLevelType w:val="multilevel"/>
    <w:tmpl w:val="67D8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80A6D31"/>
    <w:multiLevelType w:val="multilevel"/>
    <w:tmpl w:val="9562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9685DE9"/>
    <w:multiLevelType w:val="multilevel"/>
    <w:tmpl w:val="0730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0429F5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CE4204D"/>
    <w:multiLevelType w:val="multilevel"/>
    <w:tmpl w:val="B77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217E1430"/>
    <w:multiLevelType w:val="multilevel"/>
    <w:tmpl w:val="3248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AB5163"/>
    <w:multiLevelType w:val="multilevel"/>
    <w:tmpl w:val="13BE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5E71B6"/>
    <w:multiLevelType w:val="multilevel"/>
    <w:tmpl w:val="5E8A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E76792A"/>
    <w:multiLevelType w:val="multilevel"/>
    <w:tmpl w:val="12E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FE632A"/>
    <w:multiLevelType w:val="multilevel"/>
    <w:tmpl w:val="0C20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0E147F"/>
    <w:multiLevelType w:val="multilevel"/>
    <w:tmpl w:val="0E22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357BD"/>
    <w:multiLevelType w:val="multilevel"/>
    <w:tmpl w:val="697A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AF708FB"/>
    <w:multiLevelType w:val="multilevel"/>
    <w:tmpl w:val="91B2F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2C7488"/>
    <w:multiLevelType w:val="multilevel"/>
    <w:tmpl w:val="9058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84D10F4"/>
    <w:multiLevelType w:val="multilevel"/>
    <w:tmpl w:val="22546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3371A4"/>
    <w:multiLevelType w:val="multilevel"/>
    <w:tmpl w:val="FE5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922A63"/>
    <w:multiLevelType w:val="multilevel"/>
    <w:tmpl w:val="86D0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E17A20"/>
    <w:multiLevelType w:val="multilevel"/>
    <w:tmpl w:val="C0AE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E70401"/>
    <w:multiLevelType w:val="multilevel"/>
    <w:tmpl w:val="867E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F61C5D"/>
    <w:multiLevelType w:val="hybridMultilevel"/>
    <w:tmpl w:val="9F4A8688"/>
    <w:lvl w:ilvl="0" w:tplc="ABE84DA8">
      <w:start w:val="1"/>
      <w:numFmt w:val="bullet"/>
      <w:pStyle w:val="Commarcador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9C6B0E"/>
    <w:multiLevelType w:val="multilevel"/>
    <w:tmpl w:val="909A1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0216838">
    <w:abstractNumId w:val="9"/>
  </w:num>
  <w:num w:numId="2" w16cid:durableId="1318071476">
    <w:abstractNumId w:val="20"/>
  </w:num>
  <w:num w:numId="3" w16cid:durableId="121071831">
    <w:abstractNumId w:val="8"/>
  </w:num>
  <w:num w:numId="4" w16cid:durableId="1079400428">
    <w:abstractNumId w:val="22"/>
  </w:num>
  <w:num w:numId="5" w16cid:durableId="1749843496">
    <w:abstractNumId w:val="21"/>
  </w:num>
  <w:num w:numId="6" w16cid:durableId="580601762">
    <w:abstractNumId w:val="27"/>
  </w:num>
  <w:num w:numId="7" w16cid:durableId="449320745">
    <w:abstractNumId w:val="10"/>
  </w:num>
  <w:num w:numId="8" w16cid:durableId="1083263360">
    <w:abstractNumId w:val="36"/>
  </w:num>
  <w:num w:numId="9" w16cid:durableId="259262164">
    <w:abstractNumId w:val="12"/>
  </w:num>
  <w:num w:numId="10" w16cid:durableId="1410421135">
    <w:abstractNumId w:val="17"/>
  </w:num>
  <w:num w:numId="11" w16cid:durableId="1799369705">
    <w:abstractNumId w:val="15"/>
  </w:num>
  <w:num w:numId="12" w16cid:durableId="1358193052">
    <w:abstractNumId w:val="7"/>
  </w:num>
  <w:num w:numId="13" w16cid:durableId="1407874535">
    <w:abstractNumId w:val="6"/>
  </w:num>
  <w:num w:numId="14" w16cid:durableId="1022709468">
    <w:abstractNumId w:val="5"/>
  </w:num>
  <w:num w:numId="15" w16cid:durableId="715811081">
    <w:abstractNumId w:val="4"/>
  </w:num>
  <w:num w:numId="16" w16cid:durableId="895974778">
    <w:abstractNumId w:val="3"/>
  </w:num>
  <w:num w:numId="17" w16cid:durableId="1947154979">
    <w:abstractNumId w:val="2"/>
  </w:num>
  <w:num w:numId="18" w16cid:durableId="447503685">
    <w:abstractNumId w:val="1"/>
  </w:num>
  <w:num w:numId="19" w16cid:durableId="1215041640">
    <w:abstractNumId w:val="0"/>
  </w:num>
  <w:num w:numId="20" w16cid:durableId="1603686903">
    <w:abstractNumId w:val="36"/>
  </w:num>
  <w:num w:numId="21" w16cid:durableId="896236749">
    <w:abstractNumId w:val="33"/>
  </w:num>
  <w:num w:numId="22" w16cid:durableId="1319962775">
    <w:abstractNumId w:val="9"/>
  </w:num>
  <w:num w:numId="23" w16cid:durableId="1165047705">
    <w:abstractNumId w:val="13"/>
  </w:num>
  <w:num w:numId="24" w16cid:durableId="133108594">
    <w:abstractNumId w:val="34"/>
  </w:num>
  <w:num w:numId="25" w16cid:durableId="1113207320">
    <w:abstractNumId w:val="18"/>
  </w:num>
  <w:num w:numId="26" w16cid:durableId="291667167">
    <w:abstractNumId w:val="28"/>
  </w:num>
  <w:num w:numId="27" w16cid:durableId="1221284871">
    <w:abstractNumId w:val="23"/>
  </w:num>
  <w:num w:numId="28" w16cid:durableId="1627391986">
    <w:abstractNumId w:val="31"/>
  </w:num>
  <w:num w:numId="29" w16cid:durableId="129128044">
    <w:abstractNumId w:val="24"/>
  </w:num>
  <w:num w:numId="30" w16cid:durableId="634985702">
    <w:abstractNumId w:val="16"/>
  </w:num>
  <w:num w:numId="31" w16cid:durableId="1284969525">
    <w:abstractNumId w:val="25"/>
  </w:num>
  <w:num w:numId="32" w16cid:durableId="1585796303">
    <w:abstractNumId w:val="14"/>
  </w:num>
  <w:num w:numId="33" w16cid:durableId="452016113">
    <w:abstractNumId w:val="35"/>
  </w:num>
  <w:num w:numId="34" w16cid:durableId="1634364304">
    <w:abstractNumId w:val="37"/>
  </w:num>
  <w:num w:numId="35" w16cid:durableId="1244875319">
    <w:abstractNumId w:val="29"/>
  </w:num>
  <w:num w:numId="36" w16cid:durableId="1867671310">
    <w:abstractNumId w:val="26"/>
  </w:num>
  <w:num w:numId="37" w16cid:durableId="1449202455">
    <w:abstractNumId w:val="19"/>
  </w:num>
  <w:num w:numId="38" w16cid:durableId="540023021">
    <w:abstractNumId w:val="11"/>
  </w:num>
  <w:num w:numId="39" w16cid:durableId="59837454">
    <w:abstractNumId w:val="32"/>
  </w:num>
  <w:num w:numId="40" w16cid:durableId="37408578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83"/>
    <w:rsid w:val="0000795A"/>
    <w:rsid w:val="00227DF5"/>
    <w:rsid w:val="002D22E0"/>
    <w:rsid w:val="003008EC"/>
    <w:rsid w:val="003112E5"/>
    <w:rsid w:val="004A0FC6"/>
    <w:rsid w:val="00501453"/>
    <w:rsid w:val="0075279C"/>
    <w:rsid w:val="00846035"/>
    <w:rsid w:val="009F5E2B"/>
    <w:rsid w:val="00A05564"/>
    <w:rsid w:val="00B71C13"/>
    <w:rsid w:val="00B87683"/>
    <w:rsid w:val="00C52FC2"/>
    <w:rsid w:val="00D4304F"/>
    <w:rsid w:val="00D651B9"/>
    <w:rsid w:val="00E53907"/>
    <w:rsid w:val="00EC0F68"/>
    <w:rsid w:val="00EC5313"/>
    <w:rsid w:val="00EF1315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E58F1C1"/>
  <w15:chartTrackingRefBased/>
  <w15:docId w15:val="{BE46394B-33D5-489E-BB1E-01757C84B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pt-PT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Ttulo1">
    <w:name w:val="heading 1"/>
    <w:basedOn w:val="Normal"/>
    <w:link w:val="Ttulo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Lista3-nfase1">
    <w:name w:val="List Table 3 Accent 1"/>
    <w:basedOn w:val="Tabela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Commarcador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odeNegcios">
    <w:name w:val="Documento de Negócios"/>
    <w:basedOn w:val="Tabela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0072C6" w:themeColor="accent1"/>
    </w:rPr>
  </w:style>
  <w:style w:type="character" w:styleId="nfase">
    <w:name w:val="Emphasis"/>
    <w:basedOn w:val="Fontepargpadro"/>
    <w:uiPriority w:val="20"/>
    <w:unhideWhenUsed/>
    <w:qFormat/>
    <w:rsid w:val="00C52FC2"/>
    <w:rPr>
      <w:i/>
      <w:iCs/>
      <w:color w:val="8A4203" w:themeColor="accent2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Forte">
    <w:name w:val="Strong"/>
    <w:basedOn w:val="Fontepargpadro"/>
    <w:uiPriority w:val="22"/>
    <w:unhideWhenUsed/>
    <w:qFormat/>
    <w:rPr>
      <w:b/>
      <w:bCs/>
      <w:color w:val="0072C6" w:themeColor="accent1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odoEspaoReservado">
    <w:name w:val="Placeholder Text"/>
    <w:basedOn w:val="Fontepargpadro"/>
    <w:uiPriority w:val="99"/>
    <w:semiHidden/>
    <w:rsid w:val="00EC0F68"/>
    <w:rPr>
      <w:color w:val="595959" w:themeColor="text1" w:themeTint="A6"/>
    </w:rPr>
  </w:style>
  <w:style w:type="paragraph" w:styleId="Rodap">
    <w:name w:val="footer"/>
    <w:basedOn w:val="Normal"/>
    <w:link w:val="Rodap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RodapChar">
    <w:name w:val="Rodapé Char"/>
    <w:basedOn w:val="Fontepargpadro"/>
    <w:link w:val="Rodap"/>
    <w:uiPriority w:val="99"/>
    <w:rPr>
      <w:color w:val="FFFFFF" w:themeColor="background1"/>
      <w:shd w:val="clear" w:color="auto" w:fill="0072C6" w:themeFill="accent1"/>
    </w:rPr>
  </w:style>
  <w:style w:type="paragraph" w:styleId="Citao">
    <w:name w:val="Quote"/>
    <w:basedOn w:val="Normal"/>
    <w:next w:val="Normal"/>
    <w:link w:val="Citao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Numerada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FB431B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B43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Remetente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NormalWeb">
    <w:name w:val="Normal (Web)"/>
    <w:basedOn w:val="Normal"/>
    <w:uiPriority w:val="99"/>
    <w:semiHidden/>
    <w:unhideWhenUsed/>
    <w:rsid w:val="00B8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0\AppData\Roaming\Microsoft\Templates\Documento%20comercial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comercial</Template>
  <TotalTime>54</TotalTime>
  <Pages>4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LIRA GOMES</dc:creator>
  <cp:keywords/>
  <dc:description/>
  <cp:lastModifiedBy>CAIO LIRA GOMES</cp:lastModifiedBy>
  <cp:revision>1</cp:revision>
  <dcterms:created xsi:type="dcterms:W3CDTF">2024-01-24T04:26:00Z</dcterms:created>
  <dcterms:modified xsi:type="dcterms:W3CDTF">2024-01-24T05:20:00Z</dcterms:modified>
</cp:coreProperties>
</file>