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009B3A"/>
          <w:sz w:val="56"/>
          <w:szCs w:val="56"/>
        </w:rPr>
        <w:t xml:space="preserve">MANN</w:t>
      </w:r>
    </w:p>
    <w:p>
      <w:pPr>
        <w:jc w:val="center"/>
      </w:pPr>
      <w:r>
        <w:rPr>
          <w:b/>
          <w:bCs/>
          <w:color w:val="1B2733"/>
          <w:sz w:val="56"/>
          <w:szCs w:val="56"/>
        </w:rPr>
        <w:t xml:space="preserve">+HUMMEL</w:t>
      </w:r>
    </w:p>
    <w:p>
      <w:pPr>
        <w:spacing w:after="0" w:before="200"/>
        <w:jc w:val="center"/>
      </w:pPr>
      <w:r>
        <w:rPr>
          <w:color w:val="64748B"/>
          <w:spacing w:val="40"/>
          <w:sz w:val="28"/>
          <w:szCs w:val="28"/>
        </w:rPr>
        <w:t xml:space="preserve">CARGA &amp; PIPELINE</w:t>
      </w:r>
    </w:p>
    <w:p>
      <w:pPr>
        <w:spacing w:after="800"/>
      </w:pPr>
    </w:p>
    <w:p>
      <w:pPr>
        <w:jc w:val="center"/>
      </w:pPr>
      <w:r>
        <w:rPr>
          <w:b/>
          <w:bCs/>
          <w:color w:val="1B2733"/>
          <w:sz w:val="40"/>
          <w:szCs w:val="40"/>
        </w:rPr>
        <w:t xml:space="preserve">Documentação Técnica do Sistema</w:t>
      </w:r>
    </w:p>
    <w:p>
      <w:pPr>
        <w:spacing w:after="200"/>
      </w:pPr>
    </w:p>
    <w:p>
      <w:pPr>
        <w:jc w:val="center"/>
      </w:pPr>
      <w:r>
        <w:rPr>
          <w:color w:val="64748B"/>
          <w:sz w:val="22"/>
          <w:szCs w:val="22"/>
        </w:rPr>
        <w:t xml:space="preserve">Sistema interno de gestão de carga de equipe, pipeline de projetos NPI e cronograma</w:t>
      </w:r>
    </w:p>
    <w:p>
      <w:pPr>
        <w:spacing w:after="1200"/>
      </w:pPr>
    </w:p>
    <w:p>
      <w:pPr>
        <w:jc w:val="center"/>
      </w:pPr>
      <w:r>
        <w:rPr>
          <w:color w:val="64748B"/>
          <w:sz w:val="20"/>
          <w:szCs w:val="20"/>
        </w:rPr>
        <w:t xml:space="preserve">Versão 1.0  ·  Agosto de 2026</w:t>
      </w:r>
    </w:p>
    <w:p>
      <w:r>
        <w:br w:type="page"/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1. Visão Geral</w:t>
      </w:r>
    </w:p>
    <w:p>
      <w:pPr>
        <w:spacing w:after="160" w:line="300"/>
      </w:pPr>
      <w:r>
        <w:rPr>
          <w:b/>
          <w:bCs/>
          <w:color w:val="1B2733"/>
          <w:sz w:val="21"/>
          <w:szCs w:val="21"/>
        </w:rPr>
        <w:t xml:space="preserve">O que é: </w:t>
      </w:r>
      <w:r>
        <w:rPr>
          <w:color w:val="1B2733"/>
          <w:sz w:val="21"/>
          <w:szCs w:val="21"/>
        </w:rPr>
        <w:t xml:space="preserve">um sistema interno de gestão de projetos de NPI (New Product Introduction) da MANN+HUMMEL, com três visões complementares e sincronizadas sobre a mesma base de dados: </w:t>
      </w:r>
      <w:r>
        <w:rPr>
          <w:b/>
          <w:bCs/>
          <w:color w:val="1B2733"/>
          <w:sz w:val="21"/>
          <w:szCs w:val="21"/>
        </w:rPr>
        <w:t xml:space="preserve">Carga da Equipe</w:t>
      </w:r>
      <w:r>
        <w:rPr>
          <w:color w:val="1B2733"/>
          <w:sz w:val="21"/>
          <w:szCs w:val="21"/>
        </w:rPr>
        <w:t xml:space="preserve"> (matriz de alocação semanal por pessoa), </w:t>
      </w:r>
      <w:r>
        <w:rPr>
          <w:b/>
          <w:bCs/>
          <w:color w:val="1B2733"/>
          <w:sz w:val="21"/>
          <w:szCs w:val="21"/>
        </w:rPr>
        <w:t xml:space="preserve">Pipeline</w:t>
      </w:r>
      <w:r>
        <w:rPr>
          <w:color w:val="1B2733"/>
          <w:sz w:val="21"/>
          <w:szCs w:val="21"/>
        </w:rPr>
        <w:t xml:space="preserve"> (funil kanban por estágio) e </w:t>
      </w:r>
      <w:r>
        <w:rPr>
          <w:b/>
          <w:bCs/>
          <w:color w:val="1B2733"/>
          <w:sz w:val="21"/>
          <w:szCs w:val="21"/>
        </w:rPr>
        <w:t xml:space="preserve">Gantt</w:t>
      </w:r>
      <w:r>
        <w:rPr>
          <w:color w:val="1B2733"/>
          <w:sz w:val="21"/>
          <w:szCs w:val="21"/>
        </w:rPr>
        <w:t xml:space="preserve"> (cronograma dos projetos em Nomination).</w:t>
      </w:r>
    </w:p>
    <w:p>
      <w:pPr>
        <w:spacing w:after="160" w:line="300"/>
      </w:pPr>
      <w:r>
        <w:rPr>
          <w:b/>
          <w:bCs/>
          <w:color w:val="1B2733"/>
          <w:sz w:val="21"/>
          <w:szCs w:val="21"/>
        </w:rPr>
        <w:t xml:space="preserve">Para quem: </w:t>
      </w:r>
      <w:r>
        <w:rPr>
          <w:color w:val="1B2733"/>
          <w:sz w:val="21"/>
          <w:szCs w:val="21"/>
        </w:rPr>
        <w:t xml:space="preserve">equipe interna de PMs e gestores de projetos NPI, para planejar carga de trabalho por função/pessoa, acompanhar o funil de projetos e visualizar prazos.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1.1 Origem dos dados reais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O sistema é entregue já populado com dados reais, reconciliados de três fontes distintas fornecidas durante o desenvolvimento: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73 projetos reais</w:t>
      </w:r>
      <w:r>
        <w:rPr>
          <w:color w:val="1B2733"/>
          <w:sz w:val="21"/>
          <w:szCs w:val="21"/>
        </w:rPr>
        <w:t xml:space="preserve"> — código, cliente, nome, datas e subtipo NPI (G/H/I/P/X), extraídos do workbook "Workload_Rev19".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Catálogo de tarefas padrão</w:t>
      </w:r>
      <w:r>
        <w:rPr>
          <w:color w:val="1B2733"/>
          <w:sz w:val="21"/>
          <w:szCs w:val="21"/>
        </w:rPr>
        <w:t xml:space="preserve"> — 313 tarefas do processo NPI completo em 3 fases (planilha "STD load_xSEP8"), com o headcount de referência por função.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Catálogo por tipo de projeto</w:t>
      </w:r>
      <w:r>
        <w:rPr>
          <w:color w:val="1B2733"/>
          <w:sz w:val="21"/>
          <w:szCs w:val="21"/>
        </w:rPr>
        <w:t xml:space="preserve"> — 5 listas de tarefas (tipos G/H/I/P/X) com papel responsável e horas por tarefa (planilha "STD load_NPI &amp; EWF").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O sistema cruzou o subtipo de cada um dos 73 projetos reais com o catálogo do seu tipo, gerando automaticamente 3.752 atividades reais — cada uma com o papel/função corretos e a carga em dias (horas ÷ 8) — substituindo o placeholder genérico que existia antes. As planilhas originais e o catálogo já interpretado ficam preservados em </w:t>
      </w:r>
    </w:p>
    <w:p>
      <w:pPr>
        <w:spacing w:after="160" w:line="300"/>
      </w:pPr>
      <w:r>
        <w:rPr>
          <w:rFonts w:ascii="Consolas" w:cs="Consolas" w:eastAsia="Consolas" w:hAnsi="Consolas"/>
          <w:color w:val="007C2E"/>
          <w:sz w:val="20"/>
          <w:szCs w:val="20"/>
        </w:rPr>
        <w:t xml:space="preserve">server/prisma/source/</w:t>
      </w:r>
      <w:r>
        <w:rPr>
          <w:color w:val="1B2733"/>
          <w:sz w:val="21"/>
          <w:szCs w:val="21"/>
        </w:rPr>
        <w:t xml:space="preserve"> para rastreabilidade.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1.2 Princípio de funcionamento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Todo o sistema gira em torno de um único endpoint que devolve o estado completo da aplicação — a "fonte única da verdade". O frontend carrega esse estado, aplica atualizações otimistas na tela assim que o usuário age, envia a alteração real para o servidor em seguida, e sincroniza automaticamente a cada 8 segundos (e ao focar a janela) — o que permite que múltiplos usuários, olhando o mesmo backend, vejam as alterações uns dos outros convergir automaticamente, sem precisar recarregar a página.</w:t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2. Arquitetura Técnica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2.1 Stack tecnológica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1800"/>
        <w:gridCol w:w="3300"/>
        <w:gridCol w:w="4250"/>
      </w:tblGrid>
      <w:tr>
        <w:trPr>
          <w:tblHeader/>
        </w:trPr>
        <w:tc>
          <w:tcPr>
            <w:tcW w:type="dxa" w:w="18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3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2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Frontend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React 19 + Vite + TypeScript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Sem Redux/Zustand — estado global via Context API própria (src/store.tsx)</w:t>
            </w:r>
          </w:p>
        </w:tc>
      </w:tr>
      <w:tr>
        <w:tc>
          <w:tcPr>
            <w:tcW w:type="dxa" w:w="18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Backend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Node.js + Express + TypeScript</w:t>
            </w:r>
          </w:p>
        </w:tc>
        <w:tc>
          <w:tcPr>
            <w:tcW w:type="dxa" w:w="42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Executado via tsx (mesmo em produção — não há etapa de compilação para JS puro)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ORM / Banco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Prisma ORM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SQLite por padrão (arquivo local); Postgres disponível trocando 1 linha de configuração</w:t>
            </w:r>
          </w:p>
        </w:tc>
      </w:tr>
      <w:tr>
        <w:tc>
          <w:tcPr>
            <w:tcW w:type="dxa" w:w="18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Zod</w:t>
            </w:r>
          </w:p>
        </w:tc>
        <w:tc>
          <w:tcPr>
            <w:tcW w:type="dxa" w:w="42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Todas as rotas de escrita validam o corpo da requisição antes de gravar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Estilo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CSS puro (design system próprio)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src/index.css — variáveis de cor, sem framework CSS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2.2 Fluxo de dados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O frontend nunca fala diretamente com o banco — toda leitura e escrita passa pela API Express, que usa o Prisma para acessar o banco: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Carregamento inicial e polling periódico: GET /api/state → devolve members, projects e activities completos.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Qualquer alteração (mover atividade, editar projeto, mudar estágio…): o frontend aplica a mudança na tela imediatamente (otimista), envia a chamada correspondente à API, e substitui o estado local pelo estado oficial devolvido pelo servidor.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Se uma chamada falhar, aparece um aviso visual (banner vermelho no topo) e o estado é revertido para o que o servidor realmente tem — nada fica "mentindo" na tela.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2.3 Estrutura de pastas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Caminho</w:t>
            </w:r>
          </w:p>
        </w:tc>
        <w:tc>
          <w:tcPr>
            <w:tcW w:type="dxa" w:w="64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6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Telas e componentes de UI (TeamLoadBoard, PipelineBoard, GanttBoard, ProjectModal, ProjectDetail, ui.tsx)</w:t>
            </w:r>
          </w:p>
        </w:tc>
      </w:tr>
      <w:tr>
        <w:tc>
          <w:tcPr>
            <w:tcW w:type="dxa" w:w="2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src/store.tsx</w:t>
            </w:r>
          </w:p>
        </w:tc>
        <w:tc>
          <w:tcPr>
            <w:tcW w:type="dxa" w:w="64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Estado global do frontend + chamadas otimistas à API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src/api.ts</w:t>
            </w:r>
          </w:p>
        </w:tc>
        <w:tc>
          <w:tcPr>
            <w:tcW w:type="dxa" w:w="6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Client HTTP fino sobre a API REST</w:t>
            </w:r>
          </w:p>
        </w:tc>
      </w:tr>
      <w:tr>
        <w:tc>
          <w:tcPr>
            <w:tcW w:type="dxa" w:w="2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src/types.ts</w:t>
            </w:r>
          </w:p>
        </w:tc>
        <w:tc>
          <w:tcPr>
            <w:tcW w:type="dxa" w:w="64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Modelo de domínio compartilhado (Project, Activity, Member…) e constantes (papéis, estágios)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server/src/index.ts</w:t>
            </w:r>
          </w:p>
        </w:tc>
        <w:tc>
          <w:tcPr>
            <w:tcW w:type="dxa" w:w="6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Rotas da API Express</w:t>
            </w:r>
          </w:p>
        </w:tc>
      </w:tr>
      <w:tr>
        <w:tc>
          <w:tcPr>
            <w:tcW w:type="dxa" w:w="2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server/src/validation.ts</w:t>
            </w:r>
          </w:p>
        </w:tc>
        <w:tc>
          <w:tcPr>
            <w:tcW w:type="dxa" w:w="64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Schemas Zod de cada rota de escrita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server/src/auth.ts</w:t>
            </w:r>
          </w:p>
        </w:tc>
        <w:tc>
          <w:tcPr>
            <w:tcW w:type="dxa" w:w="6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Middleware de autenticação opcional</w:t>
            </w:r>
          </w:p>
        </w:tc>
      </w:tr>
      <w:tr>
        <w:tc>
          <w:tcPr>
            <w:tcW w:type="dxa" w:w="2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server/prisma/schema.prisma</w:t>
            </w:r>
          </w:p>
        </w:tc>
        <w:tc>
          <w:tcPr>
            <w:tcW w:type="dxa" w:w="64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Modelo de dados (Prisma)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server/prisma/seed.ts + seed-data.json</w:t>
            </w:r>
          </w:p>
        </w:tc>
        <w:tc>
          <w:tcPr>
            <w:tcW w:type="dxa" w:w="6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Dados reais usados para popular o banco</w:t>
            </w:r>
          </w:p>
        </w:tc>
      </w:tr>
      <w:tr>
        <w:tc>
          <w:tcPr>
            <w:tcW w:type="dxa" w:w="2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server/prisma/source/</w:t>
            </w:r>
          </w:p>
        </w:tc>
        <w:tc>
          <w:tcPr>
            <w:tcW w:type="dxa" w:w="64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Planilhas originais + catálogo já interpretado (rastreabilidade)</w:t>
            </w:r>
          </w:p>
        </w:tc>
      </w:tr>
    </w:tbl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3. Funcionalidades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3.1 Carga da Equipe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Matriz com os projetos nas linhas e as semanas (subdivididas em 5 dias úteis) nas colunas. Cada célula pode conter uma ou mais atividades.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Arrastar e soltar uma atividade entre células move-a de projeto, semana e/ou dia — a alteração é salva automaticamente.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Botão "+" em qualquer célula cria uma nova atividade ali, já sugerindo papel e responsável de alguém já alocado naquele projeto.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Filtro "Equipe": uma pastilha por função (PM, KAM, PC, PLP, PCM, PMP, PQE, SQD, CAD, LPE, PPE, LAB) — clique para isolar a carga daquela função.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Busca por atividade, código do projeto, cliente ou nome de uma pessoa específica.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Clicar no projeto abre uma visão de detalhes somente leitura (equipe alocada, horas por papel, tarefas individuais) com um botão "Editar projeto" para abrir o formulário completo.</w:t>
      </w:r>
    </w:p>
    <w:p>
      <w:pPr>
        <w:spacing w:after="160" w:line="300"/>
      </w:pPr>
      <w:r>
        <w:rPr>
          <w:b/>
          <w:bCs/>
          <w:color w:val="1B2733"/>
          <w:sz w:val="21"/>
          <w:szCs w:val="21"/>
        </w:rPr>
        <w:t xml:space="preserve">KPIs exibidos: </w:t>
      </w:r>
      <w:r>
        <w:rPr>
          <w:color w:val="1B2733"/>
          <w:sz w:val="21"/>
          <w:szCs w:val="21"/>
        </w:rPr>
        <w:t xml:space="preserve">Atividades (contagem visível), Carga total (soma de dias), Sobrecargas (quantas combinações pessoa+semana passam de 5 dias) e +Carregado (pessoa com mais dias alocados).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3.2 Pipeline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Quadro kanban com 8 colunas/estágios: Agendado → Task Done → PER/NQC → Gate Review → NQC → Nomination → On Hold / Lost·Cancel.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Arrastar um card entre colunas move o projeto de estágio — persistido imediatamente.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Ao mover um projeto para "Nomination" pela primeira vez, o sistema pede os dados de nomination (data de KO, data de SOP, valor e tipo) antes de confirmar — esses dados alimentam automaticamente a barra do projeto no Gantt.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Na etapa "PER/NQC", é possível registrar submissões numeradas (data de entrega, valor, SKAM responsável).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Filtros: Risco (baixo/médio/alto), Leitura (clara/a confirmar), Cliente e busca por texto.</w:t>
      </w:r>
    </w:p>
    <w:p>
      <w:pPr>
        <w:spacing w:after="160" w:line="300"/>
      </w:pPr>
      <w:r>
        <w:rPr>
          <w:b/>
          <w:bCs/>
          <w:color w:val="1B2733"/>
          <w:sz w:val="21"/>
          <w:szCs w:val="21"/>
        </w:rPr>
        <w:t xml:space="preserve">KPIs exibidos: </w:t>
      </w:r>
      <w:r>
        <w:rPr>
          <w:color w:val="1B2733"/>
          <w:sz w:val="21"/>
          <w:szCs w:val="21"/>
        </w:rPr>
        <w:t xml:space="preserve">Métrica Master, Carteira Bruta, Valor em Risco e Projetos — detalhados na seção 4.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3.3 Gantt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Mostra exclusivamente os projetos que estão hoje no estágio "Nomination" — os únicos com datas reais de início/fim confirmadas (vindas do KO/SOP capturados no Pipeline).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Arrastar o corpo da barra move o projeto no tempo; as alças nas duas pontas redimensionam início ou fim isoladamente.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Uma linha verde vertical marca a semana atual.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Mesmos filtros (Risco, Leitura, Cliente, busca) e os mesmos 4 KPIs do Pipeline, mas calculados apenas sobre os projetos em Nomination exibidos.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Clicar em uma barra abre a mesma visão de detalhes usada na Carga da Equipe.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3.4 Comuns às três telas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Cadastro de projeto (criar/editar/excluir): código, cliente, nome, tipo (STD/NPI + subtipo), datas, risco, valor e a equipe alocada (pessoa + papel + horas, quantas linhas forem necessárias).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Toda ação de escrita é validada no servidor antes de gravar; um valor inválido (ex.: papel inexistente) é rejeitado com uma mensagem clara, nunca corrompe os indicadores da tela.</w:t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4. Indicadores (KPIs) — Lógica de Cálculo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Esta seção documenta com precisão como cada indicador financeiro do Pipeline/Gantt é calculado, para alinhar expectativa com o cliente.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71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Fórmula real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Métrica Master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Soma ponderada: para cada projeto visível, valor (Mio) × peso de probabilidade do estágio atual. Pesos: Agendado 10%, Task Done 20%, PER/NQC 40%, Gate Review 60%, NQC 75%, Nomination 95%, On Hold 15%, Lost/Cancel 0%. Representa uma previsão de carteira ponderada por chance de avanço — não é uma soma simples de um campo.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Carteira Bruta</w:t>
            </w:r>
          </w:p>
        </w:tc>
        <w:tc>
          <w:tcPr>
            <w:tcW w:type="dxa" w:w="71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Soma do valor (Mio) de todos os projetos atualmente visíveis na tela (respeita os filtros ativos), sem ponderação por estágio — inclui inclusive projetos em "Lost/Cancel".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Valor em Risco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Soma do valor (Mio) apenas dos projetos marcados com risco = "alto" (não inclui médio nem baixo).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Projetos</w:t>
            </w:r>
          </w:p>
        </w:tc>
        <w:tc>
          <w:tcPr>
            <w:tcW w:type="dxa" w:w="71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Contagem de projetos visíveis na tela (respeita os filtros ativos). No Gantt, adicionalmente restrito a estágio = Nomination.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09B3A" w:sz="4"/>
          <w:left w:val="single" w:color="009B3A" w:sz="24"/>
          <w:bottom w:val="single" w:color="009B3A" w:sz="4"/>
          <w:right w:val="single" w:color="009B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6F6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07C2E"/>
                <w:sz w:val="21"/>
                <w:szCs w:val="21"/>
              </w:rPr>
              <w:t xml:space="preserve">Atenção — dado financeiro ainda não populado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O campo de valor (Mio) e o campo de risco não existem na planilha de origem dos 73 projetos reais (ela é puramente de carga/horas). Por isso, hoje todos os projetos estão com valor = 0 e risco = "baixo" (placeholders), e os três cartões em Mio mostram "0.0 Mio" — a fórmula está correta e pronta, falta apenas a fonte de dado real. Assim que houver uma planilha com valor e risco por projeto, aplicamos da mesma forma que foi feito com o catálogo de tarefas.</w:t>
            </w:r>
          </w:p>
        </w:tc>
      </w:tr>
    </w:tbl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5. Modelo de Dados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Cinco entidades no banco (Prisma), relacionadas conforme abaixo: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5.1 Member (pessoa/vaga de equipe)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1800"/>
        <w:gridCol w:w="2200"/>
        <w:gridCol w:w="5350"/>
      </w:tblGrid>
      <w:tr>
        <w:trPr>
          <w:tblHeader/>
        </w:trPr>
        <w:tc>
          <w:tcPr>
            <w:tcW w:type="dxa" w:w="18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5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53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Nome exibido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5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Função (PM, KAM, PC, PLP, PCM, PMP, PQE, SQD, CAD, LPE, PPE ou LAB)</w:t>
            </w:r>
          </w:p>
        </w:tc>
      </w:tr>
      <w:tr>
        <w:tc>
          <w:tcPr>
            <w:tcW w:type="dxa" w:w="18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color</w:t>
            </w:r>
          </w:p>
        </w:tc>
        <w:tc>
          <w:tcPr>
            <w:tcW w:type="dxa" w:w="2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 (hex)</w:t>
            </w:r>
          </w:p>
        </w:tc>
        <w:tc>
          <w:tcPr>
            <w:tcW w:type="dxa" w:w="53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Cor usada no avatar e nas pastilhas de filtro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5.2 Project (projeto)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2400"/>
        <w:gridCol w:w="1900"/>
        <w:gridCol w:w="5050"/>
      </w:tblGrid>
      <w:tr>
        <w:trPr>
          <w:tblHeader/>
        </w:trPr>
        <w:tc>
          <w:tcPr>
            <w:tcW w:type="dxa" w:w="24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id / code / name / client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50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Identidade do projeto</w:t>
            </w:r>
          </w:p>
        </w:tc>
      </w:tr>
      <w:tr>
        <w:tc>
          <w:tcPr>
            <w:tcW w:type="dxa" w:w="24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type / npiSubtype</w:t>
            </w:r>
          </w:p>
        </w:tc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50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'STD' ou 'NPI'; subtipo 'G'|'H'|'I'|'P'|'X' quando NPI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startWeek / endWeek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 (ISO semana)</w:t>
            </w:r>
          </w:p>
        </w:tc>
        <w:tc>
          <w:tcPr>
            <w:tcW w:type="dxa" w:w="50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Formato "2026-W31" — período do projeto</w:t>
            </w:r>
          </w:p>
        </w:tc>
      </w:tr>
      <w:tr>
        <w:tc>
          <w:tcPr>
            <w:tcW w:type="dxa" w:w="24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stage</w:t>
            </w:r>
          </w:p>
        </w:tc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50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Estágio atual no Pipeline (8 valores possíveis)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risk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50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'baixo' | 'medio' | 'alto'</w:t>
            </w:r>
          </w:p>
        </w:tc>
      </w:tr>
      <w:tr>
        <w:tc>
          <w:tcPr>
            <w:tcW w:type="dxa" w:w="24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reading</w:t>
            </w:r>
          </w:p>
        </w:tc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50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'clara' | 'confirmar'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valueMio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número</w:t>
            </w:r>
          </w:p>
        </w:tc>
        <w:tc>
          <w:tcPr>
            <w:tcW w:type="dxa" w:w="50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Valor do projeto em milhões — hoje 0 para todos (ver seção 4)</w:t>
            </w:r>
          </w:p>
        </w:tc>
      </w:tr>
      <w:tr>
        <w:tc>
          <w:tcPr>
            <w:tcW w:type="dxa" w:w="24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players / activities / submissions / nomination</w:t>
            </w:r>
          </w:p>
        </w:tc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relações</w:t>
            </w:r>
          </w:p>
        </w:tc>
        <w:tc>
          <w:tcPr>
            <w:tcW w:type="dxa" w:w="50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Ver entidades abaixo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5.3 Activity (atividade — 1 tarefa em 1 semana/dia)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2900"/>
        <w:gridCol w:w="1900"/>
        <w:gridCol w:w="4550"/>
      </w:tblGrid>
      <w:tr>
        <w:trPr>
          <w:tblHeader/>
        </w:trPr>
        <w:tc>
          <w:tcPr>
            <w:tcW w:type="dxa" w:w="29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id / projectId / memberId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4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Vínculos com o projeto e a pessoa responsável</w:t>
            </w:r>
          </w:p>
        </w:tc>
      </w:tr>
      <w:tr>
        <w:tc>
          <w:tcPr>
            <w:tcW w:type="dxa" w:w="2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week / day</w:t>
            </w:r>
          </w:p>
        </w:tc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45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Semana ('2026-W31') e dia opcional ('SEG'..'SEX')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title / role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texto</w:t>
            </w:r>
          </w:p>
        </w:tc>
        <w:tc>
          <w:tcPr>
            <w:tcW w:type="dxa" w:w="45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Descrição da tarefa e função responsável</w:t>
            </w:r>
          </w:p>
        </w:tc>
      </w:tr>
      <w:tr>
        <w:tc>
          <w:tcPr>
            <w:tcW w:type="dxa" w:w="2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loadDays</w:t>
            </w:r>
          </w:p>
        </w:tc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número</w:t>
            </w:r>
          </w:p>
        </w:tc>
        <w:tc>
          <w:tcPr>
            <w:tcW w:type="dxa" w:w="45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Carga em dias (incrementos de 0,5)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5.4 ProjectPlayer, Submission e Nomination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ProjectPlayer</w:t>
      </w:r>
      <w:r>
        <w:rPr>
          <w:color w:val="1B2733"/>
          <w:sz w:val="21"/>
          <w:szCs w:val="21"/>
        </w:rPr>
        <w:t xml:space="preserve"> — equipe alocada a um projeto: pessoa + papel + horas totais.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Submission</w:t>
      </w:r>
      <w:r>
        <w:rPr>
          <w:color w:val="1B2733"/>
          <w:sz w:val="21"/>
          <w:szCs w:val="21"/>
        </w:rPr>
        <w:t xml:space="preserve"> — submissão PER/NQC numerada por projeto: data de entrega, valor, SKAM responsável.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Nomination</w:t>
      </w:r>
      <w:r>
        <w:rPr>
          <w:color w:val="1B2733"/>
          <w:sz w:val="21"/>
          <w:szCs w:val="21"/>
        </w:rPr>
        <w:t xml:space="preserve"> — capturada quando o projeto entra em Nomination: data de KO, data de SOP, valor e tipo. Alimenta o Gantt.</w:t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6. API — Referência de Endpoints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Todas as rotas retornam o estado completo atualizado (GET /api/state) após a escrita, exceto GET /api/state e GET /api/health.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1000"/>
        <w:gridCol w:w="3200"/>
        <w:gridCol w:w="5150"/>
      </w:tblGrid>
      <w:tr>
        <w:trPr>
          <w:tblHeader/>
        </w:trPr>
        <w:tc>
          <w:tcPr>
            <w:tcW w:type="dxa" w:w="10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51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/api/state</w:t>
            </w:r>
          </w:p>
        </w:tc>
        <w:tc>
          <w:tcPr>
            <w:tcW w:type="dxa" w:w="5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Estado completo (members + projects + activities) — fonte única de verdade</w:t>
            </w:r>
          </w:p>
        </w:tc>
      </w:tr>
      <w:tr>
        <w:tc>
          <w:tcPr>
            <w:tcW w:type="dxa" w:w="10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51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Healthcheck simples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5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Cria ou atualiza um projeto completo (dados + equipe + submissões + nomination)</w:t>
            </w:r>
          </w:p>
        </w:tc>
      </w:tr>
      <w:tr>
        <w:tc>
          <w:tcPr>
            <w:tcW w:type="dxa" w:w="10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/api/projects/:id</w:t>
            </w:r>
          </w:p>
        </w:tc>
        <w:tc>
          <w:tcPr>
            <w:tcW w:type="dxa" w:w="51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Exclui um projeto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/api/projects/:id/stage</w:t>
            </w:r>
          </w:p>
        </w:tc>
        <w:tc>
          <w:tcPr>
            <w:tcW w:type="dxa" w:w="5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Move o projeto de estágio no Pipeline</w:t>
            </w:r>
          </w:p>
        </w:tc>
      </w:tr>
      <w:tr>
        <w:tc>
          <w:tcPr>
            <w:tcW w:type="dxa" w:w="10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/api/projects/:id/span</w:t>
            </w:r>
          </w:p>
        </w:tc>
        <w:tc>
          <w:tcPr>
            <w:tcW w:type="dxa" w:w="51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Altera início/fim (usado pelo arraste no Gantt)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/api/projects/:id/submissions</w:t>
            </w:r>
          </w:p>
        </w:tc>
        <w:tc>
          <w:tcPr>
            <w:tcW w:type="dxa" w:w="5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Adiciona uma submissão PER/NQC</w:t>
            </w:r>
          </w:p>
        </w:tc>
      </w:tr>
      <w:tr>
        <w:tc>
          <w:tcPr>
            <w:tcW w:type="dxa" w:w="10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/api/projects/:id/submissions/:n</w:t>
            </w:r>
          </w:p>
        </w:tc>
        <w:tc>
          <w:tcPr>
            <w:tcW w:type="dxa" w:w="51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Atualiza uma submissão existente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/api/projects/:id/submissions/:n</w:t>
            </w:r>
          </w:p>
        </w:tc>
        <w:tc>
          <w:tcPr>
            <w:tcW w:type="dxa" w:w="5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Remove uma submissão (renumera as seguintes)</w:t>
            </w:r>
          </w:p>
        </w:tc>
      </w:tr>
      <w:tr>
        <w:tc>
          <w:tcPr>
            <w:tcW w:type="dxa" w:w="10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/api/projects/:id/nomination</w:t>
            </w:r>
          </w:p>
        </w:tc>
        <w:tc>
          <w:tcPr>
            <w:tcW w:type="dxa" w:w="51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Cria/atualiza os dados de nomination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/api/activities</w:t>
            </w:r>
          </w:p>
        </w:tc>
        <w:tc>
          <w:tcPr>
            <w:tcW w:type="dxa" w:w="5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Cria ou atualiza uma atividade</w:t>
            </w:r>
          </w:p>
        </w:tc>
      </w:tr>
      <w:tr>
        <w:tc>
          <w:tcPr>
            <w:tcW w:type="dxa" w:w="10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/api/activities/:id</w:t>
            </w:r>
          </w:p>
        </w:tc>
        <w:tc>
          <w:tcPr>
            <w:tcW w:type="dxa" w:w="51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Exclui uma atividade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007C2E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B2733"/>
                <w:sz w:val="18"/>
                <w:szCs w:val="18"/>
              </w:rPr>
              <w:t xml:space="preserve">/api/activities/:id/move</w:t>
            </w:r>
          </w:p>
        </w:tc>
        <w:tc>
          <w:tcPr>
            <w:tcW w:type="dxa" w:w="5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Move uma atividade (semana/dia/projeto)</w:t>
            </w:r>
          </w:p>
        </w:tc>
      </w:tr>
    </w:tbl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7. Segurança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Validação de entrada: </w:t>
      </w:r>
      <w:r>
        <w:rPr>
          <w:color w:val="1B2733"/>
          <w:sz w:val="21"/>
          <w:szCs w:val="21"/>
        </w:rPr>
        <w:t xml:space="preserve">todas as rotas de escrita validam o corpo da requisição (Zod) antes de gravar. Um valor inválido (ex.: um papel que não existe) é rejeitado com HTTP 400 e uma mensagem detalhando o campo — nunca é salvo, evitando que os indicadores das telas quebrem silenciosamente.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Erros internos protegidos: </w:t>
      </w:r>
      <w:r>
        <w:rPr>
          <w:color w:val="1B2733"/>
          <w:sz w:val="21"/>
          <w:szCs w:val="21"/>
        </w:rPr>
        <w:t xml:space="preserve">quando NODE_ENV=production, uma falha inesperada (HTTP 500) retorna apenas uma mensagem genérica ao cliente — o erro completo (com caminho de arquivo e stack) fica só no log do servidor, nunca exposto a quem chama a API.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Autenticação (opcional, hoje desligada): </w:t>
      </w:r>
      <w:r>
        <w:rPr>
          <w:color w:val="1B2733"/>
          <w:sz w:val="21"/>
          <w:szCs w:val="21"/>
        </w:rPr>
        <w:t xml:space="preserve">definindo a variável de ambiente API_KEY no servidor, toda rota de escrita passa a exigir o cabeçalho x-api-key com o valor correto — leituras continuam livres. Recomendado antes de expor o sistema para fora de uma rede interna confiável.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CORS: </w:t>
      </w:r>
      <w:r>
        <w:rPr>
          <w:color w:val="1B2733"/>
          <w:sz w:val="21"/>
          <w:szCs w:val="21"/>
        </w:rPr>
        <w:t xml:space="preserve">hoje aberto para qualquer origem (adequado para uso em rede interna). Recomenda-se restringir ao domínio real do frontend ao publicar em produção.</w:t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8. Hospedagem — Onde e Como Publicar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O sistema tem duas partes que precisam rodar: o frontend (arquivos estáticos, gerados por "npm run build") e o backend (processo Node.js contínuo, com um banco de dados anexado). Isso define as opções possíveis:</w:t>
      </w:r>
    </w:p>
    <w:tbl>
      <w:tblPr>
        <w:tblW w:type="pct" w:w="100%"/>
        <w:tblBorders>
          <w:top w:val="single" w:color="009B3A" w:sz="4"/>
          <w:left w:val="single" w:color="009B3A" w:sz="24"/>
          <w:bottom w:val="single" w:color="009B3A" w:sz="4"/>
          <w:right w:val="single" w:color="009B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6F6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07C2E"/>
                <w:sz w:val="21"/>
                <w:szCs w:val="21"/>
              </w:rPr>
              <w:t xml:space="preserve">Ponto de atenção — SQLite exige processo contínuo com disco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Por padrão o banco é um arquivo SQLite ao lado do backend. Isso funciona muito bem em qualquer servidor "tradicional" (VPS, ou um serviço com processo Node persistente + disco), mas NÃO funciona em hospedagens 100% serverless de funções (ex.: Vercel Functions, AWS Lambda) — elas não garantem um disco persistente nem um único processo. Se a hospedagem escolhida for desse tipo, é necessário primeiro trocar para Postgres (já suportado, ver seção 9.2), usando um banco gerenciado.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8.1 Opção A — Tudo em um só lugar (recomendado para este sistema)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Mais simples de manter, custo mais baixo, adequado para uma ferramenta interna com uso moderado.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2600"/>
        <w:gridCol w:w="4400"/>
        <w:gridCol w:w="2350"/>
      </w:tblGrid>
      <w:tr>
        <w:trPr>
          <w:tblHeader/>
        </w:trPr>
        <w:tc>
          <w:tcPr>
            <w:tcW w:type="dxa" w:w="26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44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23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VPS próprio (DigitalOcean, Hetzner, Contabo, AWS Lightsail…)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Um servidor Linux onde se roda "npm run build" (frontend) servido por Nginx, e o backend como um processo contínuo (pm2 ou systemd) na porta da API, com Nginx fazendo proxy de /api para ele.</w:t>
            </w:r>
          </w:p>
        </w:tc>
        <w:tc>
          <w:tcPr>
            <w:tcW w:type="dxa" w:w="2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Controle total; SQLite funciona nativamente (arquivo no disco do servidor). Custo aproximado: US$5–12/mês.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Railway ou Render</w:t>
            </w:r>
          </w:p>
        </w:tc>
        <w:tc>
          <w:tcPr>
            <w:tcW w:type="dxa" w:w="44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Dois serviços dentro do mesmo projeto/conta: um para o backend (Node) com volume persistente para o SQLite, outro para o frontend (site estático). Deploy automático a cada push no git.</w:t>
            </w:r>
          </w:p>
        </w:tc>
        <w:tc>
          <w:tcPr>
            <w:tcW w:type="dxa" w:w="23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Um único painel/uma única fatura ainda que sejam 2 serviços. Pouca operação manual. Ambos têm camada gratuita/baixo custo para começar.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Fly.io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Semelhante ao Railway: uma "app" para o backend com volume persistente, outra para servir o frontend (ou o próprio backend serve os arquivos estáticos também).</w:t>
            </w:r>
          </w:p>
        </w:tc>
        <w:tc>
          <w:tcPr>
            <w:tcW w:type="dxa" w:w="23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Boa opção se preferir CLI a painel web.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8.2 Opção B — Dividido entre serviços especializados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Mais próximo do padrão "cloud-native": cada parte no serviço mais adequado para ela, com um banco gerenciado (backups automáticos, sem administração de servidor). Vale a pena se o sistema crescer, precisar de múltiplas instâncias do backend, ou a equipe já tiver preferência por essas ferramentas.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2200"/>
        <w:gridCol w:w="3400"/>
        <w:gridCol w:w="3750"/>
      </w:tblGrid>
      <w:tr>
        <w:trPr>
          <w:tblHeader/>
        </w:trPr>
        <w:tc>
          <w:tcPr>
            <w:tcW w:type="dxa" w:w="22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34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Serviços recomendados</w:t>
            </w:r>
          </w:p>
        </w:tc>
        <w:tc>
          <w:tcPr>
            <w:tcW w:type="dxa" w:w="37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Frontend (estático)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Vercel, Netlify ou Cloudflare Pages</w:t>
            </w:r>
          </w:p>
        </w:tc>
        <w:tc>
          <w:tcPr>
            <w:tcW w:type="dxa" w:w="3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CDN global, HTTPS automático, camada gratuita generosa, deploy automático a cada push.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Backend (API)</w:t>
            </w:r>
          </w:p>
        </w:tc>
        <w:tc>
          <w:tcPr>
            <w:tcW w:type="dxa" w:w="34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Railway, Render ou Fly.io</w:t>
            </w:r>
          </w:p>
        </w:tc>
        <w:tc>
          <w:tcPr>
            <w:tcW w:type="dxa" w:w="37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Precisa ser um processo Node contínuo — não uma função serverless clássica.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Neon, Supabase, Railway Postgres ou Render Postgres</w:t>
            </w:r>
          </w:p>
        </w:tc>
        <w:tc>
          <w:tcPr>
            <w:tcW w:type="dxa" w:w="3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Troca de SQLite para Postgres (ver seção 9.2) — desacopla o banco do processo do backend, com backup automático.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8.3 Recomendação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Para o estágio atual (ferramenta interna, equipe pequena, uso moderado): a Opção A com Railway ou Render é o melhor equilíbrio entre simplicidade e confiabilidade — um único painel, deploy automático a cada alteração de código, custo baixo e previsível, sem precisar administrar servidor. A Opção B fica reservada para quando houver necessidade real de escalar ou de um banco gerenciado com backups formais.</w:t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9. Configuração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9.1 Variáveis de ambiente</w:t>
      </w:r>
    </w:p>
    <w:tbl>
      <w:tblPr>
        <w:tblW w:type="dxa" w:w="9350"/>
        <w:tblBorders>
          <w:top w:val="single" w:color="CFD6DE" w:sz="2"/>
          <w:left w:val="single" w:color="CFD6DE" w:sz="2"/>
          <w:bottom w:val="single" w:color="CFD6DE" w:sz="2"/>
          <w:right w:val="single" w:color="CFD6DE" w:sz="2"/>
          <w:insideH w:val="single" w:color="CFD6DE" w:sz="2"/>
          <w:insideV w:val="single" w:color="CFD6DE" w:sz="2"/>
        </w:tblBorders>
      </w:tblPr>
      <w:tblGrid>
        <w:gridCol w:w="1700"/>
        <w:gridCol w:w="2000"/>
        <w:gridCol w:w="1800"/>
        <w:gridCol w:w="3850"/>
      </w:tblGrid>
      <w:tr>
        <w:trPr>
          <w:tblHeader/>
        </w:trPr>
        <w:tc>
          <w:tcPr>
            <w:tcW w:type="dxa" w:w="17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20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180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3850"/>
            <w:shd w:fill="009B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server/.env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Sim</w:t>
            </w:r>
          </w:p>
        </w:tc>
        <w:tc>
          <w:tcPr>
            <w:tcW w:type="dxa" w:w="38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Conexão do Prisma. Padrão: file:./dev.db (SQLite)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API_PORT</w:t>
            </w:r>
          </w:p>
        </w:tc>
        <w:tc>
          <w:tcPr>
            <w:tcW w:type="dxa" w:w="20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server/.env</w:t>
            </w:r>
          </w:p>
        </w:tc>
        <w:tc>
          <w:tcPr>
            <w:tcW w:type="dxa" w:w="18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Não (padrão 3001)</w:t>
            </w:r>
          </w:p>
        </w:tc>
        <w:tc>
          <w:tcPr>
            <w:tcW w:type="dxa" w:w="38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Porta em que a API escuta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NODE_ENV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server/.env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Não</w:t>
            </w:r>
          </w:p>
        </w:tc>
        <w:tc>
          <w:tcPr>
            <w:tcW w:type="dxa" w:w="38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Em 'production', sanitiza mensagens de erro (seção 7)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API_KEY</w:t>
            </w:r>
          </w:p>
        </w:tc>
        <w:tc>
          <w:tcPr>
            <w:tcW w:type="dxa" w:w="20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server/.env</w:t>
            </w:r>
          </w:p>
        </w:tc>
        <w:tc>
          <w:tcPr>
            <w:tcW w:type="dxa" w:w="18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Não</w:t>
            </w:r>
          </w:p>
        </w:tc>
        <w:tc>
          <w:tcPr>
            <w:tcW w:type="dxa" w:w="385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Se definida, exige o cabeçalho x-api-key nas rotas de escrita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VITE_API_KEY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raiz do projeto (.env)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Não</w:t>
            </w:r>
          </w:p>
        </w:tc>
        <w:tc>
          <w:tcPr>
            <w:tcW w:type="dxa" w:w="38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B2733"/>
                <w:sz w:val="19"/>
                <w:szCs w:val="19"/>
              </w:rPr>
              <w:t xml:space="preserve">Faz o frontend enviar o x-api-key correspondente ao do servidor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9.2 Trocar de SQLite para Postgres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O schema já é compatível com os dois provedores; a troca não exige alterar código: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1. Subir um Postgres (o docker-compose.yml na raiz já traz um pronto: docker compose up -d) ou usar um Postgres gerenciado (Neon, Supabase, Railway…).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2. Em server/prisma/schema.prisma, trocar provider = "sqlite" para provider = "postgresql".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3. Em server/.env, apontar DATABASE_URL para a string de conexão do Postgres.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4. Rodar: npm --prefix server run prisma:generate &amp;&amp; npm --prefix server run db:push &amp;&amp; npm --prefix server run db:seed.</w:t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10. Como Rodar Localmente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10.1 Requisitos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B2733"/>
          <w:sz w:val="21"/>
          <w:szCs w:val="21"/>
        </w:rPr>
        <w:t xml:space="preserve">Node.js 20 ou superior.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10.2 Primeira execução</w:t>
      </w:r>
    </w:p>
    <w:p>
      <w:pPr>
        <w:shd w:fill="F4F6F8" w:color="auto" w:val="clear"/>
        <w:spacing w:after="100"/>
      </w:pPr>
      <w:r>
        <w:rPr>
          <w:rFonts w:ascii="Consolas" w:cs="Consolas" w:eastAsia="Consolas" w:hAnsi="Consolas"/>
          <w:color w:val="1B2733"/>
          <w:sz w:val="19"/>
          <w:szCs w:val="19"/>
        </w:rPr>
        <w:t xml:space="preserve">npm install</w:t>
      </w:r>
    </w:p>
    <w:p>
      <w:pPr>
        <w:shd w:fill="F4F6F8" w:color="auto" w:val="clear"/>
        <w:spacing w:after="100"/>
      </w:pPr>
      <w:r>
        <w:rPr>
          <w:rFonts w:ascii="Consolas" w:cs="Consolas" w:eastAsia="Consolas" w:hAnsi="Consolas"/>
          <w:color w:val="1B2733"/>
          <w:sz w:val="19"/>
          <w:szCs w:val="19"/>
        </w:rPr>
        <w:t xml:space="preserve">npm run setup</w:t>
      </w:r>
    </w:p>
    <w:p>
      <w:pPr>
        <w:shd w:fill="F4F6F8" w:color="auto" w:val="clear"/>
        <w:spacing w:after="200"/>
      </w:pPr>
      <w:r>
        <w:rPr>
          <w:rFonts w:ascii="Consolas" w:cs="Consolas" w:eastAsia="Consolas" w:hAnsi="Consolas"/>
          <w:color w:val="1B2733"/>
          <w:sz w:val="19"/>
          <w:szCs w:val="19"/>
        </w:rPr>
        <w:t xml:space="preserve">npm run dev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O primeiro comando instala as dependências do frontend; o segundo instala as do backend, cria o banco e o popula com os dados reais; o terceiro sobe a API (porta 3001) e o frontend (porta 5173) juntos. Acesse http://localhost:5173 — o Vite encaminha as chamadas /api automaticamente para o backend.</w:t>
      </w:r>
    </w:p>
    <w:p>
      <w:pPr>
        <w:pStyle w:val="Heading2"/>
        <w:spacing w:after="140" w:before="320"/>
      </w:pPr>
      <w:r>
        <w:rPr>
          <w:b/>
          <w:bCs/>
          <w:color w:val="1B2733"/>
          <w:sz w:val="24"/>
          <w:szCs w:val="24"/>
        </w:rPr>
        <w:t xml:space="preserve">10.3 Repopular os dados (reset)</w:t>
      </w:r>
    </w:p>
    <w:p>
      <w:pPr>
        <w:shd w:fill="F4F6F8" w:color="auto" w:val="clear"/>
        <w:spacing w:after="200"/>
      </w:pPr>
      <w:r>
        <w:rPr>
          <w:rFonts w:ascii="Consolas" w:cs="Consolas" w:eastAsia="Consolas" w:hAnsi="Consolas"/>
          <w:color w:val="1B2733"/>
          <w:sz w:val="19"/>
          <w:szCs w:val="19"/>
        </w:rPr>
        <w:t xml:space="preserve">cd server &amp;&amp; npm run db:seed</w:t>
      </w:r>
    </w:p>
    <w:p>
      <w:pPr>
        <w:spacing w:after="160" w:line="300"/>
      </w:pPr>
      <w:r>
        <w:rPr>
          <w:color w:val="1B2733"/>
          <w:sz w:val="21"/>
          <w:szCs w:val="21"/>
        </w:rPr>
        <w:t xml:space="preserve">Apaga e recarrega o banco com os dados reais originais (73 projetos, 3.752 atividades) — útil para descartar alterações feitas durante testes.</w:t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11. Manutenção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Backup (SQLite): </w:t>
      </w:r>
      <w:r>
        <w:rPr>
          <w:color w:val="1B2733"/>
          <w:sz w:val="21"/>
          <w:szCs w:val="21"/>
        </w:rPr>
        <w:t xml:space="preserve">copiar o arquivo server/prisma/dev.db periodicamente é suficiente — é o banco inteiro.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Backup (Postgres): </w:t>
      </w:r>
      <w:r>
        <w:rPr>
          <w:color w:val="1B2733"/>
          <w:sz w:val="21"/>
          <w:szCs w:val="21"/>
        </w:rPr>
        <w:t xml:space="preserve">usar pg_dump, ou os backups automáticos do provedor gerenciado escolhido.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Gerar o Prisma Client novamente: </w:t>
      </w:r>
      <w:r>
        <w:rPr>
          <w:color w:val="1B2733"/>
          <w:sz w:val="21"/>
          <w:szCs w:val="21"/>
        </w:rPr>
        <w:t xml:space="preserve">necessário apenas após alterar server/prisma/schema.prisma — rodar com o servidor parado (no Windows, o processo em execução trava o arquivo do client).</w:t>
      </w:r>
    </w:p>
    <w:p>
      <w:pPr>
        <w:pStyle w:val="Heading1"/>
        <w:pBdr>
          <w:bottom w:val="single" w:color="009B3A" w:sz="12" w:space="4"/>
        </w:pBdr>
        <w:spacing w:after="200" w:before="480"/>
      </w:pPr>
      <w:r>
        <w:rPr>
          <w:b/>
          <w:bCs/>
          <w:color w:val="007C2E"/>
          <w:sz w:val="30"/>
          <w:szCs w:val="30"/>
        </w:rPr>
        <w:t xml:space="preserve">12. Limitações Conhecidas e Próximos Passos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Valor (Mio) e risco por projeto: </w:t>
      </w:r>
      <w:r>
        <w:rPr>
          <w:color w:val="1B2733"/>
          <w:sz w:val="21"/>
          <w:szCs w:val="21"/>
        </w:rPr>
        <w:t xml:space="preserve">ainda placeholders (0 e "baixo") nos 73 projetos reais — a planilha de origem não trazia esses campos. Ver seção 4.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Autenticação simples: </w:t>
      </w:r>
      <w:r>
        <w:rPr>
          <w:color w:val="1B2733"/>
          <w:sz w:val="21"/>
          <w:szCs w:val="21"/>
        </w:rPr>
        <w:t xml:space="preserve">a chave compartilhada (API_KEY) é adequada para uso interno; para múltiplas equipes ou acesso externo, recomenda-se evoluir para login por usuário.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CORS aberto por padrão: </w:t>
      </w:r>
      <w:r>
        <w:rPr>
          <w:color w:val="1B2733"/>
          <w:sz w:val="21"/>
          <w:szCs w:val="21"/>
        </w:rPr>
        <w:t xml:space="preserve">recomenda-se restringir ao domínio do frontend ao publicar em produção.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2733"/>
          <w:sz w:val="21"/>
          <w:szCs w:val="21"/>
        </w:rPr>
        <w:t xml:space="preserve">Arquivo não utilizado: </w:t>
      </w:r>
      <w:r>
        <w:rPr>
          <w:color w:val="1B2733"/>
          <w:sz w:val="21"/>
          <w:szCs w:val="21"/>
        </w:rPr>
        <w:t xml:space="preserve">src/data/seed.ts é um mock antigo de antes do backend existir — não é importado em nenhum lugar do sistema atual e pode ser removido em uma limpeza futura, sem impacto.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6DE" w:sz="4" w:space="4"/>
      </w:pBdr>
      <w:jc w:val="right"/>
    </w:pPr>
    <w:r>
      <w:rPr>
        <w:color w:val="64748B"/>
        <w:sz w:val="16"/>
        <w:szCs w:val="16"/>
      </w:rPr>
      <w:t xml:space="preserve">MANN+HUMMEL — Carga &amp; Pipeline ·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MANN+HUMMEL Carga &amp; Pipeline</dc:title>
  <dc:creator>MANN+HUMMEL — Carga &amp; Pipeline</dc:creator>
  <cp:lastModifiedBy>Un-named</cp:lastModifiedBy>
  <cp:revision>1</cp:revision>
  <dcterms:created xsi:type="dcterms:W3CDTF">2026-08-05T20:55:05.478Z</dcterms:created>
  <dcterms:modified xsi:type="dcterms:W3CDTF">2026-08-05T20:55:05.479Z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