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76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906438" cy="8504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438" cy="85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DECLARACIÓN JURADA DE SUJETO OBLIGADO.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Conforme a lo dispuesto por el art.20 Ley 25.246, el/la que suscribe ……………………………………………………………… DNI N° ………………………………. DECLARO BAJO JURAMENTO que los datos consignados en la presente son correctos, completos y fiel expresión de la verdad y que SI/NO* se encuentra incluido y/o alcanzado dentro de la “Nómina Sujetos Obligados” aprobada por dicha normativa, que manifiesto que he sido debidamente informado, leído y comprendido. </w:t>
      </w:r>
    </w:p>
    <w:p w:rsidR="00000000" w:rsidDel="00000000" w:rsidP="00000000" w:rsidRDefault="00000000" w:rsidRPr="00000000" w14:paraId="00000005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En caso afirmativo, indicar detalladamente el motivo: …………………………………………………………… </w:t>
      </w:r>
    </w:p>
    <w:p w:rsidR="00000000" w:rsidDel="00000000" w:rsidP="00000000" w:rsidRDefault="00000000" w:rsidRPr="00000000" w14:paraId="00000006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 </w:t>
      </w:r>
    </w:p>
    <w:p w:rsidR="00000000" w:rsidDel="00000000" w:rsidP="00000000" w:rsidRDefault="00000000" w:rsidRPr="00000000" w14:paraId="00000007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Fecha de inicio de la condición: ………………………………………………………………………………………………….</w:t>
      </w:r>
    </w:p>
    <w:p w:rsidR="00000000" w:rsidDel="00000000" w:rsidP="00000000" w:rsidRDefault="00000000" w:rsidRPr="00000000" w14:paraId="00000008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Asimismo, asume el compromiso de informar cualquier modificación que se produzca al respecto, dentro de los treinta (30) días de ocurrida, mediante la presentación de una nueva declaración jurada. </w:t>
      </w:r>
    </w:p>
    <w:p w:rsidR="00000000" w:rsidDel="00000000" w:rsidP="00000000" w:rsidRDefault="00000000" w:rsidRPr="00000000" w14:paraId="00000009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0A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0B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LEY 25.246 y modificatorias.</w:t>
      </w:r>
    </w:p>
    <w:p w:rsidR="00000000" w:rsidDel="00000000" w:rsidP="00000000" w:rsidRDefault="00000000" w:rsidRPr="00000000" w14:paraId="0000001E">
      <w:pPr>
        <w:widowControl w:val="1"/>
        <w:spacing w:after="160" w:line="259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CAPITULO III: Deber de informar. Sujetos obligados</w:t>
      </w:r>
    </w:p>
    <w:p w:rsidR="00000000" w:rsidDel="00000000" w:rsidP="00000000" w:rsidRDefault="00000000" w:rsidRPr="00000000" w14:paraId="0000001F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ARTICULO 20. </w:t>
      </w:r>
      <w:r w:rsidDel="00000000" w:rsidR="00000000" w:rsidRPr="00000000">
        <w:rPr>
          <w:rtl w:val="0"/>
        </w:rPr>
        <w:t xml:space="preserve">— Están obligados a informar a la Unidad de Información Financiera (UIF), de conformidad con las normas que dicte dicho organismo, los siguientes sujetos:</w:t>
        <w:br w:type="textWrapping"/>
        <w:br w:type="textWrapping"/>
        <w:t xml:space="preserve">1. Las entidades financieras sujetas al régimen de la ley 21.526 y sus modificatorias, y aquellas a las que el Banco Central de la República Argentina extienda su aplicación, en ejercicio de sus competencias.</w:t>
        <w:br w:type="textWrapping"/>
        <w:br w:type="textWrapping"/>
        <w:t xml:space="preserve">2. Las entidades sujetas al régimen de la ley 18.924 y sus modificatorias.</w:t>
        <w:br w:type="textWrapping"/>
        <w:br w:type="textWrapping"/>
        <w:t xml:space="preserve">3. Las remesadoras de fondos.</w:t>
        <w:br w:type="textWrapping"/>
        <w:br w:type="textWrapping"/>
        <w:t xml:space="preserve">4. Las empresas dedicadas al transporte de caudales y todas aquellas que brindan servicios de custodia o resguardo de fondos o valores.</w:t>
        <w:br w:type="textWrapping"/>
        <w:br w:type="textWrapping"/>
        <w:t xml:space="preserve">5. Los emisores, operadores y proveedores de servicios de cobros y/o pagos.</w:t>
        <w:br w:type="textWrapping"/>
        <w:br w:type="textWrapping"/>
        <w:t xml:space="preserve">6. Los proveedores no financieros de crédito, no previstos en otros supuestos de este artículo.</w:t>
        <w:br w:type="textWrapping"/>
        <w:br w:type="textWrapping"/>
        <w:t xml:space="preserve">7. Las personas humanas y/o jurídicas registradas o autorizadas por la Comisión Nacional de Valores, conforme las definiciones contenidas en la ley 26.831 y sus modificatorias, y en las reglamentaciones dictadas por ese organismo, para operar en el ámbito del mercado de capitales como agentes de negociación, agentes de liquidación y compensación y demás intermediarios que cumplan funciones equivalentes; agentes de colocación y distribución que actúen en la colocación de Fondos Comunes de Inversión o de otros productos de inversión colectiva autorizados por esa comisión; agentes asesores globales de inversión y demás personas jurídicas a cargo de la apertura del legajo e identificación del perfil de riesgo del cliente en materia de prevención de lavado de activos, financiamiento del terrorismo y de la proliferación de armas de destrucción masiva; agentes depositarios centrales de valores negociables o entidades registradas para recibir depósitos colectivos de valores negociables, que actúen en la custodia de instrumentos o de operaciones en los términos de la ley 20.643; agentes de custodia, registro y pago o aquellos agentes autorizados para prestar el servicio de custodia, transferencia y/o pago de valores negociables; y los fiduciarios financieros contemplados en el Capítulo 30 del Título IV del Libro Tercero del Código Civil y Comercial de la Nación y sus modificaciones, que actúen en ese carácter en fideicomisos financieros con oferta pública autorizada por la citada comisión.</w:t>
        <w:br w:type="textWrapping"/>
        <w:br w:type="textWrapping"/>
        <w:t xml:space="preserve">8. Las plataformas de financiamiento colectivo y demás personas jurídicas autorizadas por la Comisión Nacional de Valores para actuar en el marco de sistemas de financiamiento colectivo a través del uso de portales web u otros medios análogos, con el objeto principal de poner en contacto, de manera profesional, a una pluralidad de personas humanas y/o jurídicas que actúan como inversores con personas humanas y/o jurídicas que solicitan financiación en calidad de emprendedores de financiamiento colectivo.</w:t>
        <w:br w:type="textWrapping"/>
        <w:br w:type="textWrapping"/>
        <w:t xml:space="preserve">9. Las empresas aseguradoras y reaseguradoras autorizadas por la Superintendencia de Seguros de la Nación, previstas en la ley 20.091 y sus modificatorias.</w:t>
        <w:br w:type="textWrapping"/>
        <w:br w:type="textWrapping"/>
        <w:t xml:space="preserve">10. Intermediarios de seguros y Agentes autorizados por la Superintendencia de Seguros de la Nación que actúen como Agentes Institorios, Sociedades de Productores Asesores de Seguros y Productores Asesores de Seguro, cuyas actividades estén regidas por las leyes 17.418, 20.091 y 22.400, sus modificatorias, concordantes y complementarias, que operen en la comercialización de seguros de vida con ahorro o seguros de retiro.</w:t>
        <w:br w:type="textWrapping"/>
        <w:br w:type="textWrapping"/>
        <w:t xml:space="preserve">11. Las asociaciones mutuales y cooperativas autorizadas por el Instituto Nacional de Asociativismo y Economía Social, reguladas por las leyes 20.321 y 20.337 y sus modificatorias, en función de la actividad que desarrollen.</w:t>
        <w:br w:type="textWrapping"/>
        <w:br w:type="textWrapping"/>
        <w:t xml:space="preserve">12. Las sociedades de capitalización, de ahorro, de ahorro y préstamo, de economía, de constitución de capitales u otra determinación similar o equivalente, que requieran bajo cualquier forma dinero o valores al público con la promesa de adjudicación o entrega de bienes, prestaciones de servicios o beneficios futuros, comprendidas en el artículo 9° de la ley 22.315 y sus modificatorias.</w:t>
        <w:br w:type="textWrapping"/>
        <w:br w:type="textWrapping"/>
        <w:t xml:space="preserve">13. Los proveedores de servicios de activos virtuales.</w:t>
        <w:br w:type="textWrapping"/>
        <w:br w:type="textWrapping"/>
        <w:t xml:space="preserve">14. Las personas humanas y/o jurídicas, u otras estructuras con o sin personería jurídica, que como actividad habitual, exploten, administren, operen, o de cualquier manera, organicen, por sí o a través de terceros, cualquier modalidad o sistema de captación de juegos de azar.</w:t>
        <w:br w:type="textWrapping"/>
        <w:br w:type="textWrapping"/>
        <w:t xml:space="preserve">15. Las personas humanas y/o jurídicas, u otras estructuras con o sin personería jurídica, que realicen corretaje inmobiliario.</w:t>
        <w:br w:type="textWrapping"/>
        <w:br w:type="textWrapping"/>
        <w:t xml:space="preserve">16. Las personas humanas y/o jurídicas, u otras estructuras con o sin personería jurídica, dedicadas a la compraventa de obras de arte, antigüedades u otros bienes suntuarios, inversión filatélica o numismática, o a la exportación, importación, elaboración o industrialización de joyas o bienes con metales o piedras preciosas.</w:t>
        <w:br w:type="textWrapping"/>
        <w:br w:type="textWrapping"/>
        <w:t xml:space="preserve">17. Los abogados, contadores públicos y escribanos públicos, únicamente cuando a nombre y/o por cuenta de sus clientes, preparen o realicen transacciones sobre las siguientes actividades:</w:t>
        <w:br w:type="textWrapping"/>
        <w:br w:type="textWrapping"/>
        <w:t xml:space="preserve">a) Compra y/o venta de bienes inmuebles, cuando el monto involucrado sea superior a setecientos (700) salarios mínimos, vitales y móviles;</w:t>
        <w:br w:type="textWrapping"/>
        <w:br w:type="textWrapping"/>
        <w:t xml:space="preserve">b) Administración de bienes y/u otros activos cuando el monto involucrado sea superior a ciento cincuenta (150) salarios mínimos, vitales y móviles;</w:t>
        <w:br w:type="textWrapping"/>
        <w:br w:type="textWrapping"/>
        <w:t xml:space="preserve">c) Administración de cuentas bancarias, de ahorros y/o de valores cuando el monto involucrado sea superior a cincuenta (50) salarios mínimos, vitales y móviles;</w:t>
        <w:br w:type="textWrapping"/>
        <w:br w:type="textWrapping"/>
        <w:t xml:space="preserve">d) Organización de aportes o contribuciones para la creación, operación o administración de personas jurídicas u otras estructuras jurídicas;</w:t>
        <w:br w:type="textWrapping"/>
        <w:br w:type="textWrapping"/>
        <w:t xml:space="preserve">e) Creación, operación o administración de personas jurídicas u otras estructuras jurídicas, y la compra y venta de negocios jurídicos y/o sobre participaciones de personas jurídicas u otras estructuras jurídicas.</w:t>
        <w:br w:type="textWrapping"/>
        <w:br w:type="textWrapping"/>
        <w:t xml:space="preserve">En el caso de los contadores, quedan comprendidas, además de las transacciones señaladas, la confección de informes de auditoría de estados contables.</w:t>
        <w:br w:type="textWrapping"/>
        <w:br w:type="textWrapping"/>
        <w:t xml:space="preserve">Los abogados, escribanos públicos y contadores públicos que actúan como profesionales independientes no están obligados a reportar transacciones sospechosas si la información relevante se obtuvo en circunstancias en las que estos están sujetos al secreto profesional.</w:t>
        <w:br w:type="textWrapping"/>
        <w:br w:type="textWrapping"/>
        <w:t xml:space="preserve">18. Las personas humanas y/o jurídicas, u otras estructuras con o sin personería jurídica, que de manera habitual preparen o efectivamente lleven a cabo alguna de las siguientes transacciones, a nombre y/o por cuenta de sus clientes:</w:t>
        <w:br w:type="textWrapping"/>
        <w:br w:type="textWrapping"/>
        <w:t xml:space="preserve">a) Actúen como agente creador de personas jurídicas;</w:t>
        <w:br w:type="textWrapping"/>
        <w:br w:type="textWrapping"/>
        <w:t xml:space="preserve">b) Actúen por sí o faciliten la actuación de otros, como director, apoderado, socio, o una posición similar según la persona jurídica o la estructura jurídica de que se trate;</w:t>
        <w:br w:type="textWrapping"/>
        <w:br w:type="textWrapping"/>
        <w:t xml:space="preserve">c) Provean domicilio legal, comercial o postal y/o espacio físico para personas jurídicas u otras estructuras jurídicas;</w:t>
        <w:br w:type="textWrapping"/>
        <w:br w:type="textWrapping"/>
        <w:t xml:space="preserve">d) Actúen como fiduciario por sí (o faciliten la actuación de otros) de un fideicomiso no financiero o que desempeñe la función equivalente para otra forma de estructura jurídica.</w:t>
        <w:br w:type="textWrapping"/>
        <w:br w:type="textWrapping"/>
        <w:t xml:space="preserve">19. Los registros públicos, y los organismos representativos de fiscalización y control de personas jurídicas correspondientes, los registros de la propiedad inmueble, los registros de la propiedad automotor, los registros prendarios, los registros de embarcaciones de todo tipo y los registros de aeronaves.</w:t>
        <w:br w:type="textWrapping"/>
        <w:br w:type="textWrapping"/>
        <w:t xml:space="preserve">20. Los organismos de la Administración Pública y entidades descentralizadas y/o autárquicas que ejercen funciones regulatorias, de control, supervisión y/o superintendencia sobre actividades económicas y/o negocios jurídicos y/o sobre sujetos de derecho, individuales o colectivos: el Banco Central de la República Argentina, la Administración Federal de Ingresos Públicos, la Superintendencia de Seguros de la Nación, la Comisión Nacional de Valores y el Instituto Nacional de Asociativismo y Economía Social.</w:t>
        <w:br w:type="textWrapping"/>
        <w:br w:type="textWrapping"/>
        <w:t xml:space="preserve">21. Los despachantes de aduana definidos en el artículo 36 del Código Aduanero (ley 22.415 y sus modificaciones).</w:t>
        <w:br w:type="textWrapping"/>
        <w:br w:type="textWrapping"/>
        <w:t xml:space="preserve">22. Las personas humanas o jurídicas, u otra estructura con o sin personería jurídica, cuya actividad habitual sea la compraventa de automóviles, camiones, motos, ómnibus y microómnibus, tractores, maquinaria agrícola y vial, naves, yates y similares, aeronaves y aerodinos.</w:t>
        <w:br w:type="textWrapping"/>
        <w:br w:type="textWrapping"/>
        <w:t xml:space="preserve">23. Las personas jurídicas que cumplen funciones de organización y regulación de los deportes profesionales y las asociaciones y/o entidades afiliadas.</w:t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1920" w:left="1600" w:right="15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eastAsia="en-US"/>
    </w:rPr>
  </w:style>
  <w:style w:type="paragraph" w:styleId="Ttulo1">
    <w:name w:val="heading 1"/>
    <w:basedOn w:val="Normal"/>
    <w:uiPriority w:val="9"/>
    <w:qFormat w:val="1"/>
    <w:pPr>
      <w:ind w:left="102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pPr>
      <w:spacing w:before="24"/>
      <w:ind w:left="102"/>
    </w:pPr>
    <w:rPr>
      <w:sz w:val="24"/>
      <w:szCs w:val="24"/>
    </w:rPr>
  </w:style>
  <w:style w:type="paragraph" w:styleId="Prrafode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aa681767imUxrMWd/ErK9EHrtw==">CgMxLjAyCGguZ2pkZ3hzOAByITE2elJCWjNHdFJvWk9nYzQxNHlidEg5c0lyemR0T29Jaw==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2024-08-29T15:48:00Z</dcterms:created>
  <dc:creator>Guillermo Agustin Esteban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2022-07-01T00:00:00Z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2023-09-03T00:00:00Z</vt:lpwstr>
  </property>
  <property fmtid="{D5CDD505-2E9C-101B-9397-08002B2CF9AE}" pid="5" name="Producer">
    <vt:lpwstr>Microsoft® Word para Microsoft 365</vt:lpwstr>
  </property>
</Properties>
</file>