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ÉTICA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Não, sem responsabilidade pessoal falta de de ética e integridade e ainda uma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falta de profissionalismo.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2-  Medo de ser despedida ou de levar algum processo judicial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3- Primeiro, a supervisora é responsável pelas ações da marcela, pelos colegas de equipe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podem ocorrer várias demissões desnecessárias e outra criar uma desconfiança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ambiente de trabalho até na própria empresa,para a empresa perderia muitas coisas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 questões monetárias, perderia o emprego atual e a futura carreira dela nesse ramo da tecnologia.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4- Ela poderia ter comunicado sua superiora imediatamente do que estava acontecendo ,e invés de ir atrás de códigos abertos ir a procura de ajuda para seus amigos de equipe.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