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52"/>
        </w:rPr>
        <w:t>SMART DEALER</w:t>
      </w:r>
    </w:p>
    <w:p>
      <w:pPr>
        <w:jc w:val="center"/>
      </w:pPr>
      <w:r>
        <w:rPr>
          <w:b w:val="0"/>
          <w:i w:val="0"/>
          <w:color w:val="595959"/>
          <w:sz w:val="26"/>
        </w:rPr>
        <w:t>Relatório do trabalho — noite de 06/08 + manhã de 07/08/2026</w:t>
      </w:r>
    </w:p>
    <w:p>
      <w:pPr>
        <w:jc w:val="center"/>
      </w:pPr>
      <w:r>
        <w:rPr>
          <w:b/>
          <w:i w:val="0"/>
          <w:sz w:val="24"/>
        </w:rPr>
        <w:t>7 frentes · 6 entregues · só as revisões aguardam dados seus</w:t>
      </w:r>
    </w:p>
    <w:p>
      <w:r>
        <w:rPr>
          <w:b w:val="0"/>
          <w:i w:val="0"/>
        </w:rPr>
      </w:r>
    </w:p>
    <w:p>
      <w:r>
        <w:rPr>
          <w:b w:val="0"/>
          <w:i/>
          <w:color w:val="595959"/>
        </w:rPr>
        <w:t>Este documento explica o que foi feito, as decisões tomadas e o que depende de você. Conforme você autorizou, TUDO JÁ FOI PUBLICADO EM PRODUÇÃO (push na main → deploy automático na Vercel).</w:t>
      </w:r>
    </w:p>
    <w:p>
      <w:pPr>
        <w:pStyle w:val="Heading1"/>
      </w:pPr>
      <w:r>
        <w:rPr>
          <w:color w:val="1F3864"/>
        </w:rPr>
        <w:t>Resumo executivo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Pedido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Onde ver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Atualizar Varejo, Meta, Estoque e Market Share</w:t>
            </w:r>
          </w:p>
        </w:tc>
        <w:tc>
          <w:tcPr>
            <w:tcW w:type="dxa" w:w="2160"/>
          </w:tcPr>
          <w:p>
            <w:r>
              <w:t>✅ Entregue</w:t>
            </w:r>
          </w:p>
        </w:tc>
        <w:tc>
          <w:tcPr>
            <w:tcW w:type="dxa" w:w="2160"/>
          </w:tcPr>
          <w:p>
            <w:r>
              <w:t>Dashboard, Varejo, Estoque, Market Share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Inteligência de Performance + geração de PDCA em tela</w:t>
            </w:r>
          </w:p>
        </w:tc>
        <w:tc>
          <w:tcPr>
            <w:tcW w:type="dxa" w:w="2160"/>
          </w:tcPr>
          <w:p>
            <w:r>
              <w:t>✅ Entregue</w:t>
            </w:r>
          </w:p>
        </w:tc>
        <w:tc>
          <w:tcPr>
            <w:tcW w:type="dxa" w:w="2160"/>
          </w:tcPr>
          <w:p>
            <w:r>
              <w:t>Nova tela “Performance + PDCA”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Análise de K2</w:t>
            </w:r>
          </w:p>
        </w:tc>
        <w:tc>
          <w:tcPr>
            <w:tcW w:type="dxa" w:w="2160"/>
          </w:tcPr>
          <w:p>
            <w:r>
              <w:t>✅ Entregue</w:t>
            </w:r>
          </w:p>
        </w:tc>
        <w:tc>
          <w:tcPr>
            <w:tcW w:type="dxa" w:w="2160"/>
          </w:tcPr>
          <w:p>
            <w:r>
              <w:t>Nova tela “K2 · Absorção”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Limite de crédito do CCY (tomado ou não)</w:t>
            </w:r>
          </w:p>
        </w:tc>
        <w:tc>
          <w:tcPr>
            <w:tcW w:type="dxa" w:w="2160"/>
          </w:tcPr>
          <w:p>
            <w:r>
              <w:t>✅ Entregue</w:t>
            </w:r>
          </w:p>
        </w:tc>
        <w:tc>
          <w:tcPr>
            <w:tcW w:type="dxa" w:w="2160"/>
          </w:tcPr>
          <w:p>
            <w:r>
              <w:t>Nova tela “Linha de Crédito”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Como estão as revisões dele</w:t>
            </w:r>
          </w:p>
        </w:tc>
        <w:tc>
          <w:tcPr>
            <w:tcW w:type="dxa" w:w="2160"/>
          </w:tcPr>
          <w:p>
            <w:r>
              <w:t>⏸ Adiado</w:t>
            </w:r>
          </w:p>
        </w:tc>
        <w:tc>
          <w:tcPr>
            <w:tcW w:type="dxa" w:w="2160"/>
          </w:tcPr>
          <w:p>
            <w:r>
              <w:t>Você está sem acesso ao pós-vendas — seguimos sem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Previsão de recebimento das campanhas de voucher</w:t>
            </w:r>
          </w:p>
        </w:tc>
        <w:tc>
          <w:tcPr>
            <w:tcW w:type="dxa" w:w="2160"/>
          </w:tcPr>
          <w:p>
            <w:r>
              <w:t>✅ Entregue</w:t>
            </w:r>
          </w:p>
        </w:tc>
        <w:tc>
          <w:tcPr>
            <w:tcW w:type="dxa" w:w="2160"/>
          </w:tcPr>
          <w:p>
            <w:r>
              <w:t>Nova tela “Campanhas Yamaha”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Alinhar Smart Dealer ao YAMAHAWAY (Fórmula do Sucesso + banca)</w:t>
            </w:r>
          </w:p>
        </w:tc>
        <w:tc>
          <w:tcPr>
            <w:tcW w:type="dxa" w:w="2160"/>
          </w:tcPr>
          <w:p>
            <w:r>
              <w:t>✅ Entregue</w:t>
            </w:r>
          </w:p>
        </w:tc>
        <w:tc>
          <w:tcPr>
            <w:tcW w:type="dxa" w:w="2160"/>
          </w:tcPr>
          <w:p>
            <w:r>
              <w:t>Nova tela “Dossiê da Banca” (menu Yamahaway)</w:t>
            </w:r>
          </w:p>
        </w:tc>
      </w:tr>
    </w:tbl>
    <w:p>
      <w:pPr>
        <w:pStyle w:val="Heading1"/>
      </w:pPr>
      <w:r>
        <w:rPr>
          <w:color w:val="1F3864"/>
        </w:rPr>
        <w:t>A mudança mais importante: atualização automática</w:t>
      </w:r>
    </w:p>
    <w:p>
      <w:r>
        <w:rPr>
          <w:b w:val="0"/>
          <w:i w:val="0"/>
        </w:rPr>
        <w:t>Você pediu para não ficar "regravando na mão": a planilha precisa morar num lugar e o sistema consultar sozinho. Foi exatamente o que ficou pronto:</w:t>
      </w:r>
    </w:p>
    <w:p>
      <w:pPr>
        <w:pStyle w:val="ListBullet"/>
      </w:pPr>
      <w:r>
        <w:t>A planilha DADOS_DE_EMPLACAMENTO.xlsx agora mora na nuvem (Supabase Storage, junto do banco do sistema).</w:t>
      </w:r>
    </w:p>
    <w:p>
      <w:pPr>
        <w:pStyle w:val="ListBullet"/>
      </w:pPr>
      <w:r>
        <w:t>O sistema confere sozinho, no máximo a cada 60 segundos, se o arquivo mudou. Mudou → reprocessa tudo (vendas, metas, estoque, mercado, calendário de dias úteis e a referência do mês) sem ninguém apertar nada.</w:t>
      </w:r>
    </w:p>
    <w:p>
      <w:pPr>
        <w:pStyle w:val="ListBullet"/>
      </w:pPr>
      <w:r>
        <w:t>O concessionário abre o sistema e vê tudo atualizado. Ele nunca vê planilha, upload ou botão de sincronizar.</w:t>
      </w:r>
    </w:p>
    <w:p>
      <w:pPr>
        <w:pStyle w:val="ListBullet"/>
      </w:pPr>
      <w:r>
        <w:t>O seu único gesto na virada do mês (ou quando a Yamaha soltar arquivo novo): abrir o Terminal na pasta smart-dealer e rodar  npm run subir-planilha  — 5 segundos. Também aceita caminho de outro arquivo.</w:t>
      </w:r>
    </w:p>
    <w:p>
      <w:r>
        <w:rPr>
          <w:b w:val="0"/>
          <w:i/>
          <w:color w:val="595959"/>
        </w:rPr>
        <w:t>Por que ainda existe esse gesto: o sistema na nuvem não enxerga a pasta do seu Mac. Alguém precisa publicar o arquivo novo no “local X”. Depois disso, tudo é automático.</w:t>
      </w:r>
    </w:p>
    <w:p>
      <w:pPr>
        <w:pStyle w:val="Heading1"/>
      </w:pPr>
      <w:r>
        <w:rPr>
          <w:color w:val="1F3864"/>
        </w:rPr>
        <w:t>Item 1 — Números atualizados (Julho fechado + carta de Agosto)</w:t>
      </w:r>
    </w:p>
    <w:p>
      <w:r>
        <w:rPr>
          <w:b w:val="0"/>
          <w:i w:val="0"/>
        </w:rPr>
        <w:t>Fonte: DADOS_DE_EMPLACAMENTO.xlsx de 04/08 do projeto Performance Concessionário. O sistema saiu do "congelado em junho, dados até dia 14" para a lógica de dois relógios do seu projeto:</w:t>
      </w:r>
    </w:p>
    <w:p>
      <w:pPr>
        <w:pStyle w:val="ListBullet"/>
      </w:pPr>
      <w:r>
        <w:t>Carta, varejo, ritmo e projeção olham o MÊS CORRENTE (agosto).</w:t>
      </w:r>
    </w:p>
    <w:p>
      <w:pPr>
        <w:pStyle w:val="ListBullet"/>
      </w:pPr>
      <w:r>
        <w:t>Mercado, share, giro e tendência olham o ÚLTIMO MÊS FECHADO (julho).</w:t>
      </w:r>
    </w:p>
    <w:p>
      <w:r>
        <w:rPr>
          <w:b w:val="0"/>
          <w:i w:val="0"/>
        </w:rPr>
        <w:t>Números que entraram no banco (todos os 9 grupos, jan–jul/2026 — 1.908 linhas de vendas):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Julho fechado (Nippon)</w:t>
            </w:r>
          </w:p>
        </w:tc>
        <w:tc>
          <w:tcPr>
            <w:tcW w:type="dxa" w:w="4320"/>
          </w:tcPr>
          <w:p>
            <w:r>
              <w:t>144 motos (Jan 125 · Fev 115 · Mar 174 · Abr 157 · Mai 152 · Jun 118 · Jul 144)</w:t>
            </w:r>
          </w:p>
        </w:tc>
      </w:tr>
      <w:tr>
        <w:tc>
          <w:tcPr>
            <w:tcW w:type="dxa" w:w="4320"/>
          </w:tcPr>
          <w:p>
            <w:r>
              <w:t>Carta de agosto</w:t>
            </w:r>
          </w:p>
        </w:tc>
        <w:tc>
          <w:tcPr>
            <w:tcW w:type="dxa" w:w="4320"/>
          </w:tcPr>
          <w:p>
            <w:r>
              <w:t>160 motos → salto de +16 (+11%) sobre julho</w:t>
            </w:r>
          </w:p>
        </w:tc>
      </w:tr>
      <w:tr>
        <w:tc>
          <w:tcPr>
            <w:tcW w:type="dxa" w:w="4320"/>
          </w:tcPr>
          <w:p>
            <w:r>
              <w:t>Ritmo que a carta pede</w:t>
            </w:r>
          </w:p>
        </w:tc>
        <w:tc>
          <w:tcPr>
            <w:tcW w:type="dxa" w:w="4320"/>
          </w:tcPr>
          <w:p>
            <w:r>
              <w:t>7,6 un/dia em 21 dias úteis</w:t>
            </w:r>
          </w:p>
        </w:tc>
      </w:tr>
      <w:tr>
        <w:tc>
          <w:tcPr>
            <w:tcW w:type="dxa" w:w="4320"/>
          </w:tcPr>
          <w:p>
            <w:r>
              <w:t>Estoque (posição 02/08)</w:t>
            </w:r>
          </w:p>
        </w:tc>
        <w:tc>
          <w:tcPr>
            <w:tcW w:type="dxa" w:w="4320"/>
          </w:tcPr>
          <w:p>
            <w:r>
              <w:t>Nippon: 62 no chão + 112 em trânsito = 174 (regra da coluna REDE, igual ao seu projeto)</w:t>
            </w:r>
          </w:p>
        </w:tc>
      </w:tr>
      <w:tr>
        <w:tc>
          <w:tcPr>
            <w:tcW w:type="dxa" w:w="4320"/>
          </w:tcPr>
          <w:p>
            <w:r>
              <w:t>Mercado Amparo + Ouro Fino (Jan–Jul)</w:t>
            </w:r>
          </w:p>
        </w:tc>
        <w:tc>
          <w:tcPr>
            <w:tcW w:type="dxa" w:w="4320"/>
          </w:tcPr>
          <w:p>
            <w:r>
              <w:t>5.346 motos · Yamaha 20,0% · Honda 62,3%</w:t>
            </w:r>
          </w:p>
        </w:tc>
      </w:tr>
      <w:tr>
        <w:tc>
          <w:tcPr>
            <w:tcW w:type="dxa" w:w="4320"/>
          </w:tcPr>
          <w:p>
            <w:r>
              <w:t>Nippon no mercado</w:t>
            </w:r>
          </w:p>
        </w:tc>
        <w:tc>
          <w:tcPr>
            <w:tcW w:type="dxa" w:w="4320"/>
          </w:tcPr>
          <w:p>
            <w:r>
              <w:t>893 motos = 16,7% do mercado e 83,6% de toda Yamaha da região</w:t>
            </w:r>
          </w:p>
        </w:tc>
      </w:tr>
      <w:tr>
        <w:tc>
          <w:tcPr>
            <w:tcW w:type="dxa" w:w="4320"/>
          </w:tcPr>
          <w:p>
            <w:r>
              <w:t>Concorrentes nomeados</w:t>
            </w:r>
          </w:p>
        </w:tc>
        <w:tc>
          <w:tcPr>
            <w:tcW w:type="dxa" w:w="4320"/>
          </w:tcPr>
          <w:p>
            <w:r>
              <w:t>175 de 230 CNPJs (antes eram 25) — aproveitei o cnpj_cache do seu projeto</w:t>
            </w:r>
          </w:p>
        </w:tc>
      </w:tr>
    </w:tbl>
    <w:p>
      <w:r>
        <w:rPr>
          <w:b w:val="0"/>
          <w:i w:val="0"/>
        </w:rPr>
        <w:t>O dashboard tem dois modos automáticos: LARGADA (sem venda no mês ainda — mostra "julho fechou 144, carta 160, salto +16, 7,6/dia") e ACOMPANHAMENTO (quando entrar venda de agosto — projeção ponderada por dias úteis, com último dia útil valendo 2,2 e penúltimo 1,7, herdado do Ranking de Varejo). A troca é sozinha.</w:t>
      </w:r>
    </w:p>
    <w:p>
      <w:pPr>
        <w:pStyle w:val="ListBullet"/>
      </w:pPr>
      <w:r>
        <w:rPr>
          <w:b/>
        </w:rPr>
        <w:t xml:space="preserve">Decisão: </w:t>
      </w:r>
      <w:r>
        <w:t xml:space="preserve">“Junho em Dobro” (campanha que acabou) virou “Supermeta 110%” nas telas. </w:t>
      </w:r>
    </w:p>
    <w:p>
      <w:pPr>
        <w:pStyle w:val="ListBullet"/>
      </w:pPr>
      <w:r>
        <w:rPr>
          <w:b/>
        </w:rPr>
        <w:t xml:space="preserve">Decisão: </w:t>
      </w:r>
      <w:r>
        <w:t xml:space="preserve">O seletor de loja agora tem as 4 da planilha: Bragança, Atibaia, Amparo e Extrema. </w:t>
      </w:r>
    </w:p>
    <w:p>
      <w:pPr>
        <w:pStyle w:val="ListBullet"/>
      </w:pPr>
      <w:r>
        <w:rPr>
          <w:b/>
        </w:rPr>
        <w:t xml:space="preserve">Pendência: </w:t>
      </w:r>
      <w:r>
        <w:t xml:space="preserve">NPS e Leads seguem com dados de junho até você mandar os de julho — as telas mostram o mês certo sozinhas. </w:t>
      </w:r>
    </w:p>
    <w:p>
      <w:pPr>
        <w:pStyle w:val="Heading1"/>
      </w:pPr>
      <w:r>
        <w:rPr>
          <w:color w:val="1F3864"/>
        </w:rPr>
        <w:t>Item 2 — Inteligência de Performance + PDCA (nova tela)</w:t>
      </w:r>
    </w:p>
    <w:p>
      <w:r>
        <w:rPr>
          <w:b w:val="0"/>
          <w:i w:val="0"/>
        </w:rPr>
        <w:t>O cérebro do projeto Performance Concessionário agora vive dentro do Smart Dealer, na tela “Performance + PDCA” (menu Inteligência), com os dados vivos do banco:</w:t>
      </w:r>
    </w:p>
    <w:p>
      <w:pPr>
        <w:pStyle w:val="ListBullet"/>
      </w:pPr>
      <w:r>
        <w:t>Decomposição exata da variação: efeito mercado × efeito share vs a média dos 3 meses anteriores. Hoje diz: mercado 766 → 791 un/mês, share 20,1% → 20,4% — crescimento puxado pelo mercado.</w:t>
      </w:r>
    </w:p>
    <w:p>
      <w:pPr>
        <w:pStyle w:val="ListBullet"/>
      </w:pPr>
      <w:r>
        <w:t>Segmentos com veredito de causa: perda de DISPUTA (share caiu — dá pra retomar) ou de DEMANDA (o bolo encolheu — ação é conversão), com impacto em un/mês e quem cresceu (Honda).</w:t>
      </w:r>
    </w:p>
    <w:p>
      <w:pPr>
        <w:pStyle w:val="ListBullet"/>
      </w:pPr>
      <w:r>
        <w:t>Cidades com espaço: praças abaixo do share do território, com o ganho em un/mês. Hoje: Atibaia (+6 un/mês) e Piracaia (+3 un/mês).</w:t>
      </w:r>
    </w:p>
    <w:p>
      <w:pPr>
        <w:pStyle w:val="ListBullet"/>
      </w:pPr>
      <w:r>
        <w:t>Invasão: quanto da Yamaha emplacada na sua área saiu de terceiros, nomeando os CNPJs.</w:t>
      </w:r>
    </w:p>
    <w:p>
      <w:pPr>
        <w:pStyle w:val="ListBullet"/>
      </w:pPr>
      <w:r>
        <w:t>Botão “Gerar PDCA (.xlsx)”: baixa o Plano de Ação no formato Yamaha (9 colunas, cabeçalho azul, mesclagens, prioridade colorida) — mesmo arquivo do seu projeto, agora nascendo do sistema. Cada linha vem de um número medido, nunca de texto genérico. Hoje nascem 3 ações.</w:t>
      </w:r>
    </w:p>
    <w:p>
      <w:pPr>
        <w:pStyle w:val="Heading1"/>
      </w:pPr>
      <w:r>
        <w:rPr>
          <w:color w:val="1F3864"/>
        </w:rPr>
        <w:t>Item 3 — K2: Taxa de Absorção do Pós-Vendas (nova tela)</w:t>
      </w:r>
    </w:p>
    <w:p>
      <w:r>
        <w:rPr>
          <w:b w:val="0"/>
          <w:i w:val="0"/>
        </w:rPr>
        <w:t>Li o K2.pptx e os 8 DRE mensais da pasta. K2 = o pós-vendas pagando as despesas fixas: Taxa de Absorção = MC (Peças + Serviços) ÷ Despesas Operacionais. Referências Yamaha: absorção &gt; 65% e ponto de equilíbrio &lt; 50% das vendas 0km.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Mês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Absorção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MC Pós-Vendas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Despesas Oper.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 (un · % vendas)</w:t>
            </w:r>
          </w:p>
        </w:tc>
      </w:tr>
      <w:tr>
        <w:tc>
          <w:tcPr>
            <w:tcW w:type="dxa" w:w="1728"/>
          </w:tcPr>
          <w:p>
            <w:r>
              <w:t>Out/25</w:t>
            </w:r>
          </w:p>
        </w:tc>
        <w:tc>
          <w:tcPr>
            <w:tcW w:type="dxa" w:w="1728"/>
          </w:tcPr>
          <w:p>
            <w:r>
              <w:t>33,7%</w:t>
            </w:r>
          </w:p>
        </w:tc>
        <w:tc>
          <w:tcPr>
            <w:tcW w:type="dxa" w:w="1728"/>
          </w:tcPr>
          <w:p>
            <w:r>
              <w:t>R$ 146.304</w:t>
            </w:r>
          </w:p>
        </w:tc>
        <w:tc>
          <w:tcPr>
            <w:tcW w:type="dxa" w:w="1728"/>
          </w:tcPr>
          <w:p>
            <w:r>
              <w:t>R$ 433.602</w:t>
            </w:r>
          </w:p>
        </w:tc>
        <w:tc>
          <w:tcPr>
            <w:tcW w:type="dxa" w:w="1728"/>
          </w:tcPr>
          <w:p>
            <w:r>
              <w:t>114,8 · 91,1%</w:t>
            </w:r>
          </w:p>
        </w:tc>
      </w:tr>
      <w:tr>
        <w:tc>
          <w:tcPr>
            <w:tcW w:type="dxa" w:w="1728"/>
          </w:tcPr>
          <w:p>
            <w:r>
              <w:t>Nov/25</w:t>
            </w:r>
          </w:p>
        </w:tc>
        <w:tc>
          <w:tcPr>
            <w:tcW w:type="dxa" w:w="1728"/>
          </w:tcPr>
          <w:p>
            <w:r>
              <w:t>31,5%</w:t>
            </w:r>
          </w:p>
        </w:tc>
        <w:tc>
          <w:tcPr>
            <w:tcW w:type="dxa" w:w="1728"/>
          </w:tcPr>
          <w:p>
            <w:r>
              <w:t>R$ 120.656</w:t>
            </w:r>
          </w:p>
        </w:tc>
        <w:tc>
          <w:tcPr>
            <w:tcW w:type="dxa" w:w="1728"/>
          </w:tcPr>
          <w:p>
            <w:r>
              <w:t>R$ 383.111</w:t>
            </w:r>
          </w:p>
        </w:tc>
        <w:tc>
          <w:tcPr>
            <w:tcW w:type="dxa" w:w="1728"/>
          </w:tcPr>
          <w:p>
            <w:r>
              <w:t>82,8 · 116,6%</w:t>
            </w:r>
          </w:p>
        </w:tc>
      </w:tr>
      <w:tr>
        <w:tc>
          <w:tcPr>
            <w:tcW w:type="dxa" w:w="1728"/>
          </w:tcPr>
          <w:p>
            <w:r>
              <w:t>Dez/25</w:t>
            </w:r>
          </w:p>
        </w:tc>
        <w:tc>
          <w:tcPr>
            <w:tcW w:type="dxa" w:w="1728"/>
          </w:tcPr>
          <w:p>
            <w:r>
              <w:t>30,4%</w:t>
            </w:r>
          </w:p>
        </w:tc>
        <w:tc>
          <w:tcPr>
            <w:tcW w:type="dxa" w:w="1728"/>
          </w:tcPr>
          <w:p>
            <w:r>
              <w:t>R$ 105.100</w:t>
            </w:r>
          </w:p>
        </w:tc>
        <w:tc>
          <w:tcPr>
            <w:tcW w:type="dxa" w:w="1728"/>
          </w:tcPr>
          <w:p>
            <w:r>
              <w:t>R$ 345.185</w:t>
            </w:r>
          </w:p>
        </w:tc>
        <w:tc>
          <w:tcPr>
            <w:tcW w:type="dxa" w:w="1728"/>
          </w:tcPr>
          <w:p>
            <w:r>
              <w:t>81,6 · 58,7%</w:t>
            </w:r>
          </w:p>
        </w:tc>
      </w:tr>
      <w:tr>
        <w:tc>
          <w:tcPr>
            <w:tcW w:type="dxa" w:w="1728"/>
          </w:tcPr>
          <w:p>
            <w:r>
              <w:t>Jan/26</w:t>
            </w:r>
          </w:p>
        </w:tc>
        <w:tc>
          <w:tcPr>
            <w:tcW w:type="dxa" w:w="1728"/>
          </w:tcPr>
          <w:p>
            <w:r>
              <w:t>47,1%</w:t>
            </w:r>
          </w:p>
        </w:tc>
        <w:tc>
          <w:tcPr>
            <w:tcW w:type="dxa" w:w="1728"/>
          </w:tcPr>
          <w:p>
            <w:r>
              <w:t>R$ 140.891</w:t>
            </w:r>
          </w:p>
        </w:tc>
        <w:tc>
          <w:tcPr>
            <w:tcW w:type="dxa" w:w="1728"/>
          </w:tcPr>
          <w:p>
            <w:r>
              <w:t>R$ 299.427</w:t>
            </w:r>
          </w:p>
        </w:tc>
        <w:tc>
          <w:tcPr>
            <w:tcW w:type="dxa" w:w="1728"/>
          </w:tcPr>
          <w:p>
            <w:r>
              <w:t>51,4 · 39,6%</w:t>
            </w:r>
          </w:p>
        </w:tc>
      </w:tr>
      <w:tr>
        <w:tc>
          <w:tcPr>
            <w:tcW w:type="dxa" w:w="1728"/>
          </w:tcPr>
          <w:p>
            <w:r>
              <w:t>Fev/26</w:t>
            </w:r>
          </w:p>
        </w:tc>
        <w:tc>
          <w:tcPr>
            <w:tcW w:type="dxa" w:w="1728"/>
          </w:tcPr>
          <w:p>
            <w:r>
              <w:t>40,6%</w:t>
            </w:r>
          </w:p>
        </w:tc>
        <w:tc>
          <w:tcPr>
            <w:tcW w:type="dxa" w:w="1728"/>
          </w:tcPr>
          <w:p>
            <w:r>
              <w:t>R$ 142.528</w:t>
            </w:r>
          </w:p>
        </w:tc>
        <w:tc>
          <w:tcPr>
            <w:tcW w:type="dxa" w:w="1728"/>
          </w:tcPr>
          <w:p>
            <w:r>
              <w:t>R$ 350.965</w:t>
            </w:r>
          </w:p>
        </w:tc>
        <w:tc>
          <w:tcPr>
            <w:tcW w:type="dxa" w:w="1728"/>
          </w:tcPr>
          <w:p>
            <w:r>
              <w:t>74,5 · 62,0%</w:t>
            </w:r>
          </w:p>
        </w:tc>
      </w:tr>
      <w:tr>
        <w:tc>
          <w:tcPr>
            <w:tcW w:type="dxa" w:w="1728"/>
          </w:tcPr>
          <w:p>
            <w:r>
              <w:t>Mar/26</w:t>
            </w:r>
          </w:p>
        </w:tc>
        <w:tc>
          <w:tcPr>
            <w:tcW w:type="dxa" w:w="1728"/>
          </w:tcPr>
          <w:p>
            <w:r>
              <w:t>62,5%</w:t>
            </w:r>
          </w:p>
        </w:tc>
        <w:tc>
          <w:tcPr>
            <w:tcW w:type="dxa" w:w="1728"/>
          </w:tcPr>
          <w:p>
            <w:r>
              <w:t>R$ 170.283</w:t>
            </w:r>
          </w:p>
        </w:tc>
        <w:tc>
          <w:tcPr>
            <w:tcW w:type="dxa" w:w="1728"/>
          </w:tcPr>
          <w:p>
            <w:r>
              <w:t>R$ 272.333</w:t>
            </w:r>
          </w:p>
        </w:tc>
        <w:tc>
          <w:tcPr>
            <w:tcW w:type="dxa" w:w="1728"/>
          </w:tcPr>
          <w:p>
            <w:r>
              <w:t>40,2 · 22,7%</w:t>
            </w:r>
          </w:p>
        </w:tc>
      </w:tr>
      <w:tr>
        <w:tc>
          <w:tcPr>
            <w:tcW w:type="dxa" w:w="1728"/>
          </w:tcPr>
          <w:p>
            <w:r>
              <w:t>Abr/26</w:t>
            </w:r>
          </w:p>
        </w:tc>
        <w:tc>
          <w:tcPr>
            <w:tcW w:type="dxa" w:w="1728"/>
          </w:tcPr>
          <w:p>
            <w:r>
              <w:t>47,7%</w:t>
            </w:r>
          </w:p>
        </w:tc>
        <w:tc>
          <w:tcPr>
            <w:tcW w:type="dxa" w:w="1728"/>
          </w:tcPr>
          <w:p>
            <w:r>
              <w:t>R$ 147.415</w:t>
            </w:r>
          </w:p>
        </w:tc>
        <w:tc>
          <w:tcPr>
            <w:tcW w:type="dxa" w:w="1728"/>
          </w:tcPr>
          <w:p>
            <w:r>
              <w:t>R$ 309.014</w:t>
            </w:r>
          </w:p>
        </w:tc>
        <w:tc>
          <w:tcPr>
            <w:tcW w:type="dxa" w:w="1728"/>
          </w:tcPr>
          <w:p>
            <w:r>
              <w:t>57,6 · 36,7%</w:t>
            </w:r>
          </w:p>
        </w:tc>
      </w:tr>
      <w:tr>
        <w:tc>
          <w:tcPr>
            <w:tcW w:type="dxa" w:w="1728"/>
          </w:tcPr>
          <w:p>
            <w:r>
              <w:t>Mai/26</w:t>
            </w:r>
          </w:p>
        </w:tc>
        <w:tc>
          <w:tcPr>
            <w:tcW w:type="dxa" w:w="1728"/>
          </w:tcPr>
          <w:p>
            <w:r>
              <w:t>49,4%</w:t>
            </w:r>
          </w:p>
        </w:tc>
        <w:tc>
          <w:tcPr>
            <w:tcW w:type="dxa" w:w="1728"/>
          </w:tcPr>
          <w:p>
            <w:r>
              <w:t>R$ 129.133</w:t>
            </w:r>
          </w:p>
        </w:tc>
        <w:tc>
          <w:tcPr>
            <w:tcW w:type="dxa" w:w="1728"/>
          </w:tcPr>
          <w:p>
            <w:r>
              <w:t>R$ 261.524</w:t>
            </w:r>
          </w:p>
        </w:tc>
        <w:tc>
          <w:tcPr>
            <w:tcW w:type="dxa" w:w="1728"/>
          </w:tcPr>
          <w:p>
            <w:r>
              <w:t>45,0 · 29,2%</w:t>
            </w:r>
          </w:p>
        </w:tc>
      </w:tr>
    </w:tbl>
    <w:p>
      <w:r>
        <w:rPr>
          <w:b w:val="0"/>
          <w:i w:val="0"/>
        </w:rPr>
        <w:t>A história é boa: absorção saiu de ~30% no fim de 2025 para ~50% em 2026 (pico de 62,5% em março), mas ainda falta ~R$ 41 mil/mês de MC de pós-vendas para os 65%. A tela mostra o gap e as duas alavancas (subir MC do pós ou cortar despesa).</w:t>
      </w:r>
    </w:p>
    <w:p>
      <w:pPr>
        <w:pStyle w:val="ListBullet"/>
      </w:pPr>
      <w:r>
        <w:rPr>
          <w:b/>
        </w:rPr>
        <w:t xml:space="preserve">Honestidade de dado: </w:t>
      </w:r>
      <w:r>
        <w:t xml:space="preserve">“Passagens” (nº de O.S.) não existe no DRE — deixei sinalizado na tela como pendente de outra fonte, sem inventar número. </w:t>
      </w:r>
    </w:p>
    <w:p>
      <w:pPr>
        <w:pStyle w:val="ListBullet"/>
      </w:pPr>
      <w:r>
        <w:rPr>
          <w:b/>
        </w:rPr>
        <w:t xml:space="preserve">Confirmar: </w:t>
      </w:r>
      <w:r>
        <w:t xml:space="preserve">Os DRE dizem “Dealer: Nippon Motos - Bragança (BAC 1696-01)”. Confirma se são do grupo consolidado ou só de Bragança. E se tiver DRE de junho/julho, é só salvar na pasta K2 e rodar scripts/gerar_k2_data.py. </w:t>
      </w:r>
    </w:p>
    <w:p>
      <w:pPr>
        <w:pStyle w:val="Heading1"/>
      </w:pPr>
      <w:r>
        <w:rPr>
          <w:color w:val="1F3864"/>
        </w:rPr>
        <w:t>Item 4 — Linha de Crédito (nova tela)</w:t>
      </w:r>
    </w:p>
    <w:p>
      <w:r>
        <w:rPr>
          <w:b w:val="0"/>
          <w:i w:val="0"/>
        </w:rPr>
        <w:t>Segui à risca o documento _LIMITE DE CRÉDITO.docx (inclusive a restrição: só dados agregados, sem chassi/NF/histórico que a base não tem). A tela responde as 3 perguntas em segundos: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Limite de Crédito</w:t>
            </w:r>
          </w:p>
        </w:tc>
        <w:tc>
          <w:tcPr>
            <w:tcW w:type="dxa" w:w="4320"/>
          </w:tcPr>
          <w:p>
            <w:r>
              <w:t>R$ 3.200.000,00</w:t>
            </w:r>
          </w:p>
        </w:tc>
      </w:tr>
      <w:tr>
        <w:tc>
          <w:tcPr>
            <w:tcW w:type="dxa" w:w="4320"/>
          </w:tcPr>
          <w:p>
            <w:r>
              <w:t>Consumo Atual (Moto YA + Outros YA + Outros YB)</w:t>
            </w:r>
          </w:p>
        </w:tc>
        <w:tc>
          <w:tcPr>
            <w:tcW w:type="dxa" w:w="4320"/>
          </w:tcPr>
          <w:p>
            <w:r>
              <w:t>R$ 3.184.992,26</w:t>
            </w:r>
          </w:p>
        </w:tc>
      </w:tr>
      <w:tr>
        <w:tc>
          <w:tcPr>
            <w:tcW w:type="dxa" w:w="4320"/>
          </w:tcPr>
          <w:p>
            <w:r>
              <w:t>Compromissos (Pedido Liberado + Agrupamento)</w:t>
            </w:r>
          </w:p>
        </w:tc>
        <w:tc>
          <w:tcPr>
            <w:tcW w:type="dxa" w:w="4320"/>
          </w:tcPr>
          <w:p>
            <w:r>
              <w:t>R$ 24.064,52</w:t>
            </w:r>
          </w:p>
        </w:tc>
      </w:tr>
      <w:tr>
        <w:tc>
          <w:tcPr>
            <w:tcW w:type="dxa" w:w="4320"/>
          </w:tcPr>
          <w:p>
            <w:r>
              <w:t>DISPONÍVEL</w:t>
            </w:r>
          </w:p>
        </w:tc>
        <w:tc>
          <w:tcPr>
            <w:tcW w:type="dxa" w:w="4320"/>
          </w:tcPr>
          <w:p>
            <w:r>
              <w:t>R$ −9.056,78 → 🔴 LIMITE EXCEDIDO</w:t>
            </w:r>
          </w:p>
        </w:tc>
      </w:tr>
    </w:tbl>
    <w:p>
      <w:pPr>
        <w:pStyle w:val="ListBullet"/>
      </w:pPr>
      <w:r>
        <w:t>Semáforo 🟢🟡🔴 no topo — entendimento em 5 segundos.</w:t>
      </w:r>
    </w:p>
    <w:p>
      <w:pPr>
        <w:pStyle w:val="ListBullet"/>
      </w:pPr>
      <w:r>
        <w:t>Composição visual do consumo (o vilão é “Outros YA”: R$ 2,89 mi de motos faturadas não liquidadas).</w:t>
      </w:r>
    </w:p>
    <w:p>
      <w:pPr>
        <w:pStyle w:val="ListBullet"/>
      </w:pPr>
      <w:r>
        <w:t>Tooltip explicando cada rubrica em português de gente.</w:t>
      </w:r>
    </w:p>
    <w:p>
      <w:pPr>
        <w:pStyle w:val="ListBullet"/>
      </w:pPr>
      <w:r>
        <w:t>Simulador: digita o valor do pedido → mostra o saldo depois e se cabe ou não.</w:t>
      </w:r>
    </w:p>
    <w:p>
      <w:pPr>
        <w:pStyle w:val="ListBullet"/>
      </w:pPr>
      <w:r>
        <w:t>Narrativa automática no rodapé, igual à proposta do documento.</w:t>
      </w:r>
    </w:p>
    <w:p>
      <w:r>
        <w:rPr>
          <w:b w:val="0"/>
          <w:i/>
          <w:color w:val="595959"/>
        </w:rPr>
        <w:t>Os valores estão em lib/credito-data.ts — quando chegar posição nova da base, é editar um arquivo só (ou me pedir que eu conecto na fonte que você tiver).</w:t>
      </w:r>
    </w:p>
    <w:p>
      <w:pPr>
        <w:pStyle w:val="Heading1"/>
      </w:pPr>
      <w:r>
        <w:rPr>
          <w:color w:val="1F3864"/>
        </w:rPr>
        <w:t>Item 5 — Revisões (aguardando os prints)</w:t>
      </w:r>
    </w:p>
    <w:p>
      <w:r>
        <w:rPr>
          <w:b w:val="0"/>
          <w:i w:val="0"/>
          <w:color w:val="9C6500"/>
        </w:rPr>
        <w:t>Os prints de revisões meta × resultado ainda não estavam na pasta _NOVAS MELHORIAS quando terminei (só chegaram K2, Limite de Crédito e os 3 arquivos YAMAHAWAY). Preferi não inventar tela sem dado. Assim que você soltar os prints na pasta, eu monto a visão de revisões — a estrutura de tela já está padronizada, é rápido.</w:t>
      </w:r>
    </w:p>
    <w:p>
      <w:pPr>
        <w:pStyle w:val="Heading1"/>
      </w:pPr>
      <w:r>
        <w:rPr>
          <w:color w:val="1F3864"/>
        </w:rPr>
        <w:t>Item 6 — Campanhas de voucher: quanto a Nippon vai receber (nova tela)</w:t>
      </w:r>
    </w:p>
    <w:p>
      <w:r>
        <w:rPr>
          <w:b w:val="0"/>
          <w:i w:val="0"/>
        </w:rPr>
        <w:t>A planilha que você ia deixar não chegou, então codifiquei a circular oficial CA-MTC-080-26 (Campeões de Vendas, Jul–Set/2026) e cruzei com o varejo real do banco. Achado importante:</w:t>
      </w:r>
    </w:p>
    <w:p>
      <w:r>
        <w:rPr>
          <w:b/>
          <w:i w:val="0"/>
          <w:color w:val="1E7A4F"/>
        </w:rPr>
        <w:t>Julho fechou em exatos 90,0% da carta (144/160) → R$ 7.500 GARANTIDOS (50% do valor da faixa C, válido no mês).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Cenário até setembro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 estimado</w:t>
            </w:r>
          </w:p>
        </w:tc>
      </w:tr>
      <w:tr>
        <w:tc>
          <w:tcPr>
            <w:tcW w:type="dxa" w:w="2880"/>
          </w:tcPr>
          <w:p>
            <w:r>
              <w:t>Garantido hoje</w:t>
            </w:r>
          </w:p>
        </w:tc>
        <w:tc>
          <w:tcPr>
            <w:tcW w:type="dxa" w:w="2880"/>
          </w:tcPr>
          <w:p>
            <w:r>
              <w:t>apuração de julho já fechada</w:t>
            </w:r>
          </w:p>
        </w:tc>
        <w:tc>
          <w:tcPr>
            <w:tcW w:type="dxa" w:w="2880"/>
          </w:tcPr>
          <w:p>
            <w:r>
              <w:t>R$ 7.500</w:t>
            </w:r>
          </w:p>
        </w:tc>
      </w:tr>
      <w:tr>
        <w:tc>
          <w:tcPr>
            <w:tcW w:type="dxa" w:w="2880"/>
          </w:tcPr>
          <w:p>
            <w:r>
              <w:t>Cenário 90%</w:t>
            </w:r>
          </w:p>
        </w:tc>
        <w:tc>
          <w:tcPr>
            <w:tcW w:type="dxa" w:w="2880"/>
          </w:tcPr>
          <w:p>
            <w:r>
              <w:t>fechar agosto e setembro em 90–99%</w:t>
            </w:r>
          </w:p>
        </w:tc>
        <w:tc>
          <w:tcPr>
            <w:tcW w:type="dxa" w:w="2880"/>
          </w:tcPr>
          <w:p>
            <w:r>
              <w:t>R$ 22.500</w:t>
            </w:r>
          </w:p>
        </w:tc>
      </w:tr>
      <w:tr>
        <w:tc>
          <w:tcPr>
            <w:tcW w:type="dxa" w:w="2880"/>
          </w:tcPr>
          <w:p>
            <w:r>
              <w:t>Cenário 100%</w:t>
            </w:r>
          </w:p>
        </w:tc>
        <w:tc>
          <w:tcPr>
            <w:tcW w:type="dxa" w:w="2880"/>
          </w:tcPr>
          <w:p>
            <w:r>
              <w:t>bater a carta (recupera os R$ 15 mil de julho no acumulado) + R$ 30/moto p/ gerentes</w:t>
            </w:r>
          </w:p>
        </w:tc>
        <w:tc>
          <w:tcPr>
            <w:tcW w:type="dxa" w:w="2880"/>
          </w:tcPr>
          <w:p>
            <w:r>
              <w:t>R$ 62.100</w:t>
            </w:r>
          </w:p>
        </w:tc>
      </w:tr>
      <w:tr>
        <w:tc>
          <w:tcPr>
            <w:tcW w:type="dxa" w:w="2880"/>
          </w:tcPr>
          <w:p>
            <w:r>
              <w:t>Cenário 110%</w:t>
            </w:r>
          </w:p>
        </w:tc>
        <w:tc>
          <w:tcPr>
            <w:tcW w:type="dxa" w:w="2880"/>
          </w:tcPr>
          <w:p>
            <w:r>
              <w:t>superar em 10% (prêmio em dobro + R$ 50/moto p/ gerentes)</w:t>
            </w:r>
          </w:p>
        </w:tc>
        <w:tc>
          <w:tcPr>
            <w:tcW w:type="dxa" w:w="2880"/>
          </w:tcPr>
          <w:p>
            <w:r>
              <w:t>R$ 100.100</w:t>
            </w:r>
          </w:p>
        </w:tc>
      </w:tr>
    </w:tbl>
    <w:p>
      <w:pPr>
        <w:pStyle w:val="ListBullet"/>
      </w:pPr>
      <w:r>
        <w:t>A tela mostra a apuração mês a mês, a régua do trimestre (recuperação retroativa a 100% do acumulado) e as regras da circular traduzidas.</w:t>
      </w:r>
    </w:p>
    <w:p>
      <w:pPr>
        <w:pStyle w:val="ListBullet"/>
      </w:pPr>
      <w:r>
        <w:t>Quando entrar venda de agosto, a projeção viva indica em qual cenário o mês está caminhando.</w:t>
      </w:r>
    </w:p>
    <w:p>
      <w:pPr>
        <w:pStyle w:val="ListBullet"/>
      </w:pPr>
      <w:r>
        <w:rPr>
          <w:b/>
        </w:rPr>
        <w:t xml:space="preserve">Atenção: </w:t>
      </w:r>
      <w:r>
        <w:t xml:space="preserve">Carta de setembro ainda não informada — entra como estimativa (igual à atual) com aviso na tela. Se a sua planilha de campanha tiver outros números, me manda que eu ajusto. </w:t>
      </w:r>
    </w:p>
    <w:p>
      <w:pPr>
        <w:pStyle w:val="Heading1"/>
      </w:pPr>
      <w:r>
        <w:rPr>
          <w:color w:val="1F3864"/>
        </w:rPr>
        <w:t>Item 7 — Yamahaway: Dossiê da Banca (nova tela)</w:t>
      </w:r>
    </w:p>
    <w:p>
      <w:r>
        <w:rPr>
          <w:b w:val="0"/>
          <w:i w:val="0"/>
        </w:rPr>
        <w:t>Li os 3 arquivos (Fórmula do Sucesso, gráficos de aranha e a transcrição da 1ª apresentação) e transformei em uma tela dentro do sistema — “Dossiê da Banca”, no menu Yamahaway (visível para titular e consultor). A ideia: em vez de slide estático, a resposta à banca é o próprio produto rodando.</w:t>
      </w:r>
    </w:p>
    <w:p>
      <w:pPr>
        <w:pStyle w:val="Heading2"/>
      </w:pPr>
      <w:r>
        <w:rPr>
          <w:color w:val="1F3864"/>
        </w:rPr>
        <w:t>Como vocês estão nos números da 1ª banca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Grupo 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Média dos grupos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Média Top 3</w:t>
            </w:r>
          </w:p>
        </w:tc>
      </w:tr>
      <w:tr>
        <w:tc>
          <w:tcPr>
            <w:tcW w:type="dxa" w:w="2160"/>
          </w:tcPr>
          <w:p>
            <w:r>
              <w:t>Pesquisa</w:t>
            </w:r>
          </w:p>
        </w:tc>
        <w:tc>
          <w:tcPr>
            <w:tcW w:type="dxa" w:w="2160"/>
          </w:tcPr>
          <w:p>
            <w:r>
              <w:t>3,78</w:t>
            </w:r>
          </w:p>
        </w:tc>
        <w:tc>
          <w:tcPr>
            <w:tcW w:type="dxa" w:w="2160"/>
          </w:tcPr>
          <w:p>
            <w:r>
              <w:t>2,67</w:t>
            </w:r>
          </w:p>
        </w:tc>
        <w:tc>
          <w:tcPr>
            <w:tcW w:type="dxa" w:w="2160"/>
          </w:tcPr>
          <w:p>
            <w:r>
              <w:t>3,85</w:t>
            </w:r>
          </w:p>
        </w:tc>
      </w:tr>
      <w:tr>
        <w:tc>
          <w:tcPr>
            <w:tcW w:type="dxa" w:w="2160"/>
          </w:tcPr>
          <w:p>
            <w:r>
              <w:t>Planejamento e Objetivos</w:t>
            </w:r>
          </w:p>
        </w:tc>
        <w:tc>
          <w:tcPr>
            <w:tcW w:type="dxa" w:w="2160"/>
          </w:tcPr>
          <w:p>
            <w:r>
              <w:t>4,00</w:t>
            </w:r>
          </w:p>
        </w:tc>
        <w:tc>
          <w:tcPr>
            <w:tcW w:type="dxa" w:w="2160"/>
          </w:tcPr>
          <w:p>
            <w:r>
              <w:t>2,68</w:t>
            </w:r>
          </w:p>
        </w:tc>
        <w:tc>
          <w:tcPr>
            <w:tcW w:type="dxa" w:w="2160"/>
          </w:tcPr>
          <w:p>
            <w:r>
              <w:t>3,94</w:t>
            </w:r>
          </w:p>
        </w:tc>
      </w:tr>
      <w:tr>
        <w:tc>
          <w:tcPr>
            <w:tcW w:type="dxa" w:w="2160"/>
          </w:tcPr>
          <w:p>
            <w:r>
              <w:t>Foco no Cliente</w:t>
            </w:r>
          </w:p>
        </w:tc>
        <w:tc>
          <w:tcPr>
            <w:tcW w:type="dxa" w:w="2160"/>
          </w:tcPr>
          <w:p>
            <w:r>
              <w:t>3,83</w:t>
            </w:r>
          </w:p>
        </w:tc>
        <w:tc>
          <w:tcPr>
            <w:tcW w:type="dxa" w:w="2160"/>
          </w:tcPr>
          <w:p>
            <w:r>
              <w:t>2,85</w:t>
            </w:r>
          </w:p>
        </w:tc>
        <w:tc>
          <w:tcPr>
            <w:tcW w:type="dxa" w:w="2160"/>
          </w:tcPr>
          <w:p>
            <w:r>
              <w:t>3,81</w:t>
            </w:r>
          </w:p>
        </w:tc>
      </w:tr>
      <w:tr>
        <w:tc>
          <w:tcPr>
            <w:tcW w:type="dxa" w:w="2160"/>
          </w:tcPr>
          <w:p>
            <w:r>
              <w:t>Inovação</w:t>
            </w:r>
          </w:p>
        </w:tc>
        <w:tc>
          <w:tcPr>
            <w:tcW w:type="dxa" w:w="2160"/>
          </w:tcPr>
          <w:p>
            <w:r>
              <w:t>4,33</w:t>
            </w:r>
          </w:p>
        </w:tc>
        <w:tc>
          <w:tcPr>
            <w:tcW w:type="dxa" w:w="2160"/>
          </w:tcPr>
          <w:p>
            <w:r>
              <w:t>3,10</w:t>
            </w:r>
          </w:p>
        </w:tc>
        <w:tc>
          <w:tcPr>
            <w:tcW w:type="dxa" w:w="2160"/>
          </w:tcPr>
          <w:p>
            <w:r>
              <w:t>4,19</w:t>
            </w:r>
          </w:p>
        </w:tc>
      </w:tr>
      <w:tr>
        <w:tc>
          <w:tcPr>
            <w:tcW w:type="dxa" w:w="2160"/>
          </w:tcPr>
          <w:p>
            <w:r>
              <w:t>Trabalho em Equipe</w:t>
            </w:r>
          </w:p>
        </w:tc>
        <w:tc>
          <w:tcPr>
            <w:tcW w:type="dxa" w:w="2160"/>
          </w:tcPr>
          <w:p>
            <w:r>
              <w:t>4,25</w:t>
            </w:r>
          </w:p>
        </w:tc>
        <w:tc>
          <w:tcPr>
            <w:tcW w:type="dxa" w:w="2160"/>
          </w:tcPr>
          <w:p>
            <w:r>
              <w:t>3,28</w:t>
            </w:r>
          </w:p>
        </w:tc>
        <w:tc>
          <w:tcPr>
            <w:tcW w:type="dxa" w:w="2160"/>
          </w:tcPr>
          <w:p>
            <w:r>
              <w:t>4,36</w:t>
            </w:r>
          </w:p>
        </w:tc>
      </w:tr>
      <w:tr>
        <w:tc>
          <w:tcPr>
            <w:tcW w:type="dxa" w:w="2160"/>
          </w:tcPr>
          <w:p>
            <w:r>
              <w:t>Viabilidade e Impacto</w:t>
            </w:r>
          </w:p>
        </w:tc>
        <w:tc>
          <w:tcPr>
            <w:tcW w:type="dxa" w:w="2160"/>
          </w:tcPr>
          <w:p>
            <w:r>
              <w:t>4,17</w:t>
            </w:r>
          </w:p>
        </w:tc>
        <w:tc>
          <w:tcPr>
            <w:tcW w:type="dxa" w:w="2160"/>
          </w:tcPr>
          <w:p>
            <w:r>
              <w:t>2,93</w:t>
            </w:r>
          </w:p>
        </w:tc>
        <w:tc>
          <w:tcPr>
            <w:tcW w:type="dxa" w:w="2160"/>
          </w:tcPr>
          <w:p>
            <w:r>
              <w:t>4,21</w:t>
            </w:r>
          </w:p>
        </w:tc>
      </w:tr>
    </w:tbl>
    <w:p>
      <w:r>
        <w:rPr>
          <w:b/>
          <w:i w:val="0"/>
        </w:rPr>
        <w:t>Acima da média geral nos 6 critérios; acima da média do Top 3 em Planejamento, Foco no Cliente e Inovação. Os únicos gaps para o Top 3 são mínimos: Equipe (−0,11) e Pesquisa (−0,07). A própria banca disse: "vocês já subiram a expectativa de toda a banca".</w:t>
      </w:r>
    </w:p>
    <w:p>
      <w:pPr>
        <w:pStyle w:val="Heading2"/>
      </w:pPr>
      <w:r>
        <w:rPr>
          <w:color w:val="1F3864"/>
        </w:rPr>
        <w:t>O que a tela entrega</w:t>
      </w:r>
    </w:p>
    <w:p>
      <w:pPr>
        <w:pStyle w:val="ListBullet"/>
      </w:pPr>
      <w:r>
        <w:t>Radar interativo Grupo 6 × média × Top 3 (os mesmos dados do pptm da banca).</w:t>
      </w:r>
    </w:p>
    <w:p>
      <w:pPr>
        <w:pStyle w:val="ListBullet"/>
      </w:pPr>
      <w:r>
        <w:t>Cada cobrança da banca com a resposta e um link "Ver no sistema" para a evidência: integração da jornada (/crm), KPIs de cliente (/leads), investimento×ganho (/vouchers), know-how como vantagem (/performance), execução (/k2).</w:t>
      </w:r>
    </w:p>
    <w:p>
      <w:pPr>
        <w:pStyle w:val="ListBullet"/>
      </w:pPr>
      <w:r>
        <w:t>Comparativo COM/SEM Smart Dealer em 7 processos (projeção, PDCA, mercado, K2, crédito, campanhas, atualização).</w:t>
      </w:r>
    </w:p>
    <w:p>
      <w:pPr>
        <w:pStyle w:val="ListBullet"/>
      </w:pPr>
      <w:r>
        <w:t>Business case: R$ 600/mês (piloto pago pela Nippon, dito na banca) contra os ganhos que o próprio sistema mede — só a campanha tem até R$ 100 mil no trimestre, ao vivo na tela.</w:t>
      </w:r>
    </w:p>
    <w:p>
      <w:pPr>
        <w:pStyle w:val="ListBullet"/>
      </w:pPr>
      <w:r>
        <w:t>Fórmula do Sucesso: evidência concreta por critério, no vocabulário da avaliação.</w:t>
      </w:r>
    </w:p>
    <w:p>
      <w:pPr>
        <w:pStyle w:val="ListBullet"/>
      </w:pPr>
      <w:r>
        <w:rPr>
          <w:b/>
        </w:rPr>
        <w:t xml:space="preserve">Ponto sensível da banca: </w:t>
      </w:r>
      <w:r>
        <w:t xml:space="preserve">Governança da IA endereçada de frente: os módulos novos NÃO dependem de IA (dados + regras); a IA é camada opcional, e a transcrição registra a orientação do Júlio — "justifiquem o uso; isso aqui é mais do que justificativa". </w:t>
      </w:r>
    </w:p>
    <w:p>
      <w:pPr>
        <w:pStyle w:val="Heading1"/>
      </w:pPr>
      <w:r>
        <w:rPr>
          <w:color w:val="1F3864"/>
        </w:rPr>
        <w:t>Ajustes da manhã de 07/08 (seus 3 pedidos)</w:t>
      </w:r>
    </w:p>
    <w:p>
      <w:pPr>
        <w:pStyle w:val="Heading2"/>
      </w:pPr>
      <w:r>
        <w:rPr>
          <w:color w:val="1F3864"/>
        </w:rPr>
        <w:t>A) Fórmula do Sucesso virou diagnóstico + orientação (refeita)</w:t>
      </w:r>
    </w:p>
    <w:p>
      <w:r>
        <w:rPr>
          <w:b w:val="0"/>
          <w:i w:val="0"/>
        </w:rPr>
        <w:t>Você pediu para NÃO justificar o trabalho em cima da fórmula, e sim identificar onde cada item já existe, o que falta e o que fazer. A tela "Dossiê da Banca" foi refeita:</w:t>
      </w:r>
    </w:p>
    <w:p>
      <w:pPr>
        <w:pStyle w:val="ListBullet"/>
      </w:pPr>
      <w:r>
        <w:t>Os 27 sub-itens do formulário de avaliação, um a um, com status: 10 TEMOS · 11 PARCIAIS · 6 FALTAM.</w:t>
      </w:r>
    </w:p>
    <w:p>
      <w:pPr>
        <w:pStyle w:val="ListBullet"/>
      </w:pPr>
      <w:r>
        <w:t>Cada item traz "Onde está" (a evidência no trabalho) e "O que fazer" (orientação concreta).</w:t>
      </w:r>
    </w:p>
    <w:p>
      <w:pPr>
        <w:pStyle w:val="ListBullet"/>
      </w:pPr>
      <w:r>
        <w:t>Bloco "As 5 ações que mais movem a nota": (1) pesquisa com 5–10 clientes reais da Nippon — é o único critério com dois itens zerados; (2) escrever 3 hipóteses testáveis + 3 metas-número com prazo; (3) mapear os 7 passos da venda e onde o sistema atua; (4) depoimento de 60s do titular em vídeo; (5) benchmark de 3–4 soluções concorrentes × Smart Dealer.</w:t>
      </w:r>
    </w:p>
    <w:p>
      <w:r>
        <w:rPr>
          <w:b/>
          <w:i w:val="0"/>
          <w:color w:val="9C0006"/>
        </w:rPr>
        <w:t>Os 6 itens que FALTAM (foco máximo): hipóteses claras; objetivo mensurável com prazo; posicionamento Yamaha declarado; fatores de compra tabulados; 7 passos descritos; pesquisas com clientes.</w:t>
      </w:r>
    </w:p>
    <w:p>
      <w:pPr>
        <w:pStyle w:val="Heading2"/>
      </w:pPr>
      <w:r>
        <w:rPr>
          <w:color w:val="1F3864"/>
        </w:rPr>
        <w:t>B) Deck PowerPoint completo na tela Performance</w:t>
      </w:r>
    </w:p>
    <w:p>
      <w:r>
        <w:rPr>
          <w:b w:val="0"/>
          <w:i w:val="0"/>
        </w:rPr>
        <w:t>Portei o gerador de .pptx inteiro do Performance Concessionário para dentro do Smart Dealer. Na tela Performance agora há DOIS botões: "Gerar PDCA (.xlsx)" e "Gerar Deck (.pptx)".</w:t>
      </w:r>
    </w:p>
    <w:p>
      <w:pPr>
        <w:pStyle w:val="ListBullet"/>
      </w:pPr>
      <w:r>
        <w:t>8 slides com os dados vivos: capa · o mês (carta/ritmo) · mercado (decomposição + gráfico mensal) · segmentos · praças + invasão · K2 · campanha Campeões de Vendas · PDCA paginado com a cara do Excel.</w:t>
      </w:r>
    </w:p>
    <w:p>
      <w:pPr>
        <w:pStyle w:val="ListBullet"/>
      </w:pPr>
      <w:r>
        <w:t>Com notas de apresentador em cada slide (o roteiro da call já vai embutido).</w:t>
      </w:r>
    </w:p>
    <w:p>
      <w:pPr>
        <w:pStyle w:val="ListBullet"/>
      </w:pPr>
      <w:r>
        <w:t>Mesmo visual do Deck_NOBRE-MOTOS que você gera no projeto original — testado e validado o arquivo.</w:t>
      </w:r>
    </w:p>
    <w:p>
      <w:pPr>
        <w:pStyle w:val="Heading2"/>
      </w:pPr>
      <w:r>
        <w:rPr>
          <w:color w:val="1F3864"/>
        </w:rPr>
        <w:t>C) Atendimento de Leads no formato Motoryama (dados projetados)</w:t>
      </w:r>
    </w:p>
    <w:p>
      <w:r>
        <w:rPr>
          <w:b w:val="0"/>
          <w:i w:val="0"/>
        </w:rPr>
        <w:t>Li os 5 PDFs e o print do WhatsApp que você deixou na pasta. Nova tela "Atendimento Diário" (menu Comercial) replica o formato por completo, com dados PROJETADOS da equipe Nippon (selo de simulação na tela — vira real quando as linhas forem conectadas):</w:t>
      </w:r>
    </w:p>
    <w:p>
      <w:pPr>
        <w:pStyle w:val="ListBullet"/>
      </w:pPr>
      <w:r>
        <w:t>Cobertura de linhas (4 de 6 ativas; alerta de linhas offline = lead perdido sem registro).</w:t>
      </w:r>
    </w:p>
    <w:p>
      <w:pPr>
        <w:pStyle w:val="ListBullet"/>
      </w:pPr>
      <w:r>
        <w:t>Resumo executivo por vendedor: leads recebidos, sem resposta (%), tempo médio, follow-up, tentou vender, qualificou — com veredicto verde/vermelho.</w:t>
      </w:r>
    </w:p>
    <w:p>
      <w:pPr>
        <w:pStyle w:val="ListBullet"/>
      </w:pPr>
      <w:r>
        <w:t>Placar da semana dia a dia · comparativo "ontem × seu dia normal" em barras.</w:t>
      </w:r>
    </w:p>
    <w:p>
      <w:pPr>
        <w:pStyle w:val="ListBullet"/>
      </w:pPr>
      <w:r>
        <w:t>Leads quentes — chamar HOJE: última mensagem do cliente, motivo da ligação e botão "Chamar agora" (WhatsApp).</w:t>
      </w:r>
    </w:p>
    <w:p>
      <w:pPr>
        <w:pStyle w:val="ListBullet"/>
      </w:pPr>
      <w:r>
        <w:t>Análise individual com tiles vs média do vendedor.</w:t>
      </w:r>
    </w:p>
    <w:p>
      <w:pPr>
        <w:pStyle w:val="Heading2"/>
      </w:pPr>
      <w:r>
        <w:rPr>
          <w:color w:val="1F3864"/>
        </w:rPr>
        <w:t>D) Duas fontes de recebimento separadas na tela Campanhas Yamaha</w:t>
      </w:r>
    </w:p>
    <w:p>
      <w:r>
        <w:rPr>
          <w:b w:val="0"/>
          <w:i w:val="0"/>
        </w:rPr>
        <w:t>Você apontou que o CCY recebe do Campeões de Vendas E das campanhas de voucher — eu tinha tratado como uma coisa só. Li as 5 circulares que você deixou na pasta e refiz a tela: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Circular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Bônus ao cliente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Yamaha ressarce à CCY</w:t>
            </w:r>
          </w:p>
        </w:tc>
      </w:tr>
      <w:tr>
        <w:tc>
          <w:tcPr>
            <w:tcW w:type="dxa" w:w="2160"/>
          </w:tcPr>
          <w:p>
            <w:r>
              <w:t>Fazer FZ25 (250)</w:t>
            </w:r>
          </w:p>
        </w:tc>
        <w:tc>
          <w:tcPr>
            <w:tcW w:type="dxa" w:w="2160"/>
          </w:tcPr>
          <w:p>
            <w:r>
              <w:t>CA-MTC028-26</w:t>
            </w:r>
          </w:p>
        </w:tc>
        <w:tc>
          <w:tcPr>
            <w:tcW w:type="dxa" w:w="2160"/>
          </w:tcPr>
          <w:p>
            <w:r>
              <w:t>R$ 2.000</w:t>
            </w:r>
          </w:p>
        </w:tc>
        <w:tc>
          <w:tcPr>
            <w:tcW w:type="dxa" w:w="2160"/>
          </w:tcPr>
          <w:p>
            <w:r>
              <w:t>R$ 1.000/chassi</w:t>
            </w:r>
          </w:p>
        </w:tc>
      </w:tr>
      <w:tr>
        <w:tc>
          <w:tcPr>
            <w:tcW w:type="dxa" w:w="2160"/>
          </w:tcPr>
          <w:p>
            <w:r>
              <w:t>NMAX</w:t>
            </w:r>
          </w:p>
        </w:tc>
        <w:tc>
          <w:tcPr>
            <w:tcW w:type="dxa" w:w="2160"/>
          </w:tcPr>
          <w:p>
            <w:r>
              <w:t>CA-MTC029-26</w:t>
            </w:r>
          </w:p>
        </w:tc>
        <w:tc>
          <w:tcPr>
            <w:tcW w:type="dxa" w:w="2160"/>
          </w:tcPr>
          <w:p>
            <w:r>
              <w:t>R$ 1.000</w:t>
            </w:r>
          </w:p>
        </w:tc>
        <w:tc>
          <w:tcPr>
            <w:tcW w:type="dxa" w:w="2160"/>
          </w:tcPr>
          <w:p>
            <w:r>
              <w:t>R$ 500/chassi</w:t>
            </w:r>
          </w:p>
        </w:tc>
      </w:tr>
      <w:tr>
        <w:tc>
          <w:tcPr>
            <w:tcW w:type="dxa" w:w="2160"/>
          </w:tcPr>
          <w:p>
            <w:r>
              <w:t>MT-07</w:t>
            </w:r>
          </w:p>
        </w:tc>
        <w:tc>
          <w:tcPr>
            <w:tcW w:type="dxa" w:w="2160"/>
          </w:tcPr>
          <w:p>
            <w:r>
              <w:t>CA-MTC030-26</w:t>
            </w:r>
          </w:p>
        </w:tc>
        <w:tc>
          <w:tcPr>
            <w:tcW w:type="dxa" w:w="2160"/>
          </w:tcPr>
          <w:p>
            <w:r>
              <w:t>R$ 2.500</w:t>
            </w:r>
          </w:p>
        </w:tc>
        <w:tc>
          <w:tcPr>
            <w:tcW w:type="dxa" w:w="2160"/>
          </w:tcPr>
          <w:p>
            <w:r>
              <w:t>R$ 2.500/chassi (100% Yamaha)</w:t>
            </w:r>
          </w:p>
        </w:tc>
      </w:tr>
      <w:tr>
        <w:tc>
          <w:tcPr>
            <w:tcW w:type="dxa" w:w="2160"/>
          </w:tcPr>
          <w:p>
            <w:r>
              <w:t>Lander</w:t>
            </w:r>
          </w:p>
        </w:tc>
        <w:tc>
          <w:tcPr>
            <w:tcW w:type="dxa" w:w="2160"/>
          </w:tcPr>
          <w:p>
            <w:r>
              <w:t>CA-MTC031-26</w:t>
            </w:r>
          </w:p>
        </w:tc>
        <w:tc>
          <w:tcPr>
            <w:tcW w:type="dxa" w:w="2160"/>
          </w:tcPr>
          <w:p>
            <w:r>
              <w:t>R$ 2.000</w:t>
            </w:r>
          </w:p>
        </w:tc>
        <w:tc>
          <w:tcPr>
            <w:tcW w:type="dxa" w:w="2160"/>
          </w:tcPr>
          <w:p>
            <w:r>
              <w:t>R$ 1.000/chassi</w:t>
            </w:r>
          </w:p>
        </w:tc>
      </w:tr>
      <w:tr>
        <w:tc>
          <w:tcPr>
            <w:tcW w:type="dxa" w:w="2160"/>
          </w:tcPr>
          <w:p>
            <w:r>
              <w:t>XMAX 300</w:t>
            </w:r>
          </w:p>
        </w:tc>
        <w:tc>
          <w:tcPr>
            <w:tcW w:type="dxa" w:w="2160"/>
          </w:tcPr>
          <w:p>
            <w:r>
              <w:t>CA-MTC032-26</w:t>
            </w:r>
          </w:p>
        </w:tc>
        <w:tc>
          <w:tcPr>
            <w:tcW w:type="dxa" w:w="2160"/>
          </w:tcPr>
          <w:p>
            <w:r>
              <w:t>R$ 3.000 (voucher)</w:t>
            </w:r>
          </w:p>
        </w:tc>
        <w:tc>
          <w:tcPr>
            <w:tcW w:type="dxa" w:w="2160"/>
          </w:tcPr>
          <w:p>
            <w:r>
              <w:t>R$ 1.500/voucher</w:t>
            </w:r>
          </w:p>
        </w:tc>
      </w:tr>
    </w:tbl>
    <w:p>
      <w:r>
        <w:rPr>
          <w:b w:val="0"/>
          <w:i w:val="0"/>
        </w:rPr>
        <w:t>Cruzando com as vendas reais do banco (campanhas válidas também em julho, como você orientou):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Recebível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Vouchers — julho realizado (19 Fazer + 8 NMAX + 1 MT-07 + 21 Lander + 13 XMAX)</w:t>
            </w:r>
          </w:p>
        </w:tc>
        <w:tc>
          <w:tcPr>
            <w:tcW w:type="dxa" w:w="4320"/>
          </w:tcPr>
          <w:p>
            <w:r>
              <w:t>R$ 66.000</w:t>
            </w:r>
          </w:p>
        </w:tc>
      </w:tr>
      <w:tr>
        <w:tc>
          <w:tcPr>
            <w:tcW w:type="dxa" w:w="4320"/>
          </w:tcPr>
          <w:p>
            <w:r>
              <w:t>Campeões de Vendas — julho (90% da carta)</w:t>
            </w:r>
          </w:p>
        </w:tc>
        <w:tc>
          <w:tcPr>
            <w:tcW w:type="dxa" w:w="4320"/>
          </w:tcPr>
          <w:p>
            <w:r>
              <w:t>R$ 7.500</w:t>
            </w:r>
          </w:p>
        </w:tc>
      </w:tr>
      <w:tr>
        <w:tc>
          <w:tcPr>
            <w:tcW w:type="dxa" w:w="4320"/>
          </w:tcPr>
          <w:p>
            <w:r>
              <w:t>JÁ APURADO (as duas fontes)</w:t>
            </w:r>
          </w:p>
        </w:tc>
        <w:tc>
          <w:tcPr>
            <w:tcW w:type="dxa" w:w="4320"/>
          </w:tcPr>
          <w:p>
            <w:r>
              <w:t>R$ 73.500</w:t>
            </w:r>
          </w:p>
        </w:tc>
      </w:tr>
      <w:tr>
        <w:tc>
          <w:tcPr>
            <w:tcW w:type="dxa" w:w="4320"/>
          </w:tcPr>
          <w:p>
            <w:r>
              <w:t>Vouchers — projeção agosto (ritmo dos últimos 3 meses)</w:t>
            </w:r>
          </w:p>
        </w:tc>
        <w:tc>
          <w:tcPr>
            <w:tcW w:type="dxa" w:w="4320"/>
          </w:tcPr>
          <w:p>
            <w:r>
              <w:t>R$ 62.000</w:t>
            </w:r>
          </w:p>
        </w:tc>
      </w:tr>
    </w:tbl>
    <w:p>
      <w:pPr>
        <w:pStyle w:val="ListBullet"/>
      </w:pPr>
      <w:r>
        <w:t>A tela agora mostra Fonte 1 (incentivo por modelo, tabela com real de julho e projeção de agosto) e Fonte 2 (Campeões de Vendas) com um consolidado no topo.</w:t>
      </w:r>
    </w:p>
    <w:p>
      <w:pPr>
        <w:pStyle w:val="ListBullet"/>
      </w:pPr>
      <w:r>
        <w:rPr>
          <w:b/>
        </w:rPr>
        <w:t xml:space="preserve">Atenção: </w:t>
      </w:r>
      <w:r>
        <w:t>Regras das circulares na tela: apuração por XML até 04/09, pagamento até 20/09, e o aviso de que o bônus NÃO acumula com taxas subsidiadas/voucher nacional — os valores são o teto do recebível.</w:t>
      </w:r>
    </w:p>
    <w:p>
      <w:pPr>
        <w:pStyle w:val="Heading2"/>
      </w:pPr>
      <w:r>
        <w:rPr>
          <w:color w:val="1F3864"/>
        </w:rPr>
        <w:t>E) Deck consistente + minutas prontas para a 2ª banca</w:t>
      </w:r>
    </w:p>
    <w:p>
      <w:pPr>
        <w:pStyle w:val="ListBullet"/>
      </w:pPr>
      <w:r>
        <w:t>O slide de campanhas do deck PowerPoint agora consolida as DUAS fontes (Campeões + vouchers por modelo) — mesmos números da tela.</w:t>
      </w:r>
    </w:p>
    <w:p>
      <w:pPr>
        <w:pStyle w:val="ListBullet"/>
      </w:pPr>
      <w:r>
        <w:t>No Dossiê da Banca, deixei 4 MINUTAS PRONTAS para os itens em branco do formulário — é validar e levar pro slide: (1) objetivo em uma frase + 3 metas-número com prazo; (2) as 3 hipóteses testáveis no formato "se X, então Y — medido por Z"; (3) os 7 passos da venda com onde o Smart Dealer atua em cada um; (4) minuta de posicionamento ("a Honda vende mais; a Yamaha pode atender melhor").</w:t>
      </w:r>
    </w:p>
    <w:p>
      <w:pPr>
        <w:pStyle w:val="ListBullet"/>
      </w:pPr>
      <w:r>
        <w:t>Continuam dependendo de campo (ações nº 1 da lista de prioridades): pesquisa com 5–10 clientes reais e tabulação dos fatores de compra das conversas.</w:t>
      </w:r>
    </w:p>
    <w:p>
      <w:pPr>
        <w:pStyle w:val="Heading2"/>
      </w:pPr>
      <w:r>
        <w:rPr>
          <w:color w:val="1F3864"/>
        </w:rPr>
        <w:t>F) A saga do PowerPoint — resolvida (07/08, manhã)</w:t>
      </w:r>
    </w:p>
    <w:p>
      <w:r>
        <w:rPr>
          <w:b w:val="0"/>
          <w:i w:val="0"/>
        </w:rPr>
        <w:t>O deck .pptx abria no Mac mas o Windows pedia "reparar": o Modo de Exibição Protegido (arquivos baixados da internet) valida o pacote com um rigor que o PowerPoint normal não usa — e rejeitava o nosso escritor caseiro (o mesmo do Excel, que passa). Solução definitiva: o deck agora é gerado pela PptxGenJS, biblioteca padrão de mercado, e ABRE DIRETO NO WINDOWS (confirmado por você). De bônus, os gráficos de mercado e do K2 viraram gráficos nativos editáveis do PowerPoint.</w:t>
      </w:r>
    </w:p>
    <w:p>
      <w:pPr>
        <w:pStyle w:val="ListBullet"/>
      </w:pPr>
      <w:r>
        <w:rPr>
          <w:b/>
        </w:rPr>
        <w:t xml:space="preserve">Status: </w:t>
      </w:r>
      <w:r>
        <w:t>Confirmado funcionando no Windows em 07/08 ✔</w:t>
      </w:r>
    </w:p>
    <w:p>
      <w:pPr>
        <w:pStyle w:val="ListBullet"/>
      </w:pPr>
      <w:r>
        <w:rPr>
          <w:b/>
        </w:rPr>
        <w:t xml:space="preserve">Também nesta manhã: </w:t>
      </w:r>
      <w:r>
        <w:t>Análise de share e PDCA agora restritas aos segmentos onde a Yamaha TEM produto (aba oficial CADASTRO SEGMENTO YAMAHA ATUA): 11 segmentos entram, 19 sem moto no catálogo ficam fora do plano, com nota de transparência — seu apontamento do "não dá para crescer onde a Yamaha não fabrica".</w:t>
      </w:r>
    </w:p>
    <w:p>
      <w:pPr>
        <w:pStyle w:val="ListBullet"/>
      </w:pPr>
      <w:r>
        <w:t>Tela Campanhas com as DUAS fontes de recebimento separadas (R$ 73.500 já apurados) · gráficos do K2 e Market Share corrigidos · arte nova da Crosser no gerador de campanhas.</w:t>
      </w:r>
    </w:p>
    <w:p>
      <w:pPr>
        <w:pStyle w:val="Heading1"/>
      </w:pPr>
      <w:r>
        <w:rPr>
          <w:color w:val="1F3864"/>
        </w:rPr>
        <w:t>O que depende de você agora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Esforço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Revisar este documento e apontar correções</w:t>
            </w:r>
          </w:p>
        </w:tc>
        <w:tc>
          <w:tcPr>
            <w:tcW w:type="dxa" w:w="2880"/>
          </w:tcPr>
          <w:p>
            <w:r>
              <w:t>leitura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Soltar na pasta a circular Campeões de Vendas de AGOSTO (eu ajusto o /vouchers)</w:t>
            </w:r>
          </w:p>
        </w:tc>
        <w:tc>
          <w:tcPr>
            <w:tcW w:type="dxa" w:w="2880"/>
          </w:tcPr>
          <w:p>
            <w:r>
              <w:t>arrastar arquivo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Passar NPS e Leads de julho</w:t>
            </w:r>
          </w:p>
        </w:tc>
        <w:tc>
          <w:tcPr>
            <w:tcW w:type="dxa" w:w="2880"/>
          </w:tcPr>
          <w:p>
            <w:r>
              <w:t>quando tiver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Confirmar: DRE do K2 é consolidado do grupo ou só Bragança? Tem DRE de Jun/Jul?</w:t>
            </w:r>
          </w:p>
        </w:tc>
        <w:tc>
          <w:tcPr>
            <w:tcW w:type="dxa" w:w="2880"/>
          </w:tcPr>
          <w:p>
            <w:r>
              <w:t>1 resposta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Na virada do mês: npm run subir-planilha (5 segundos)</w:t>
            </w:r>
          </w:p>
        </w:tc>
        <w:tc>
          <w:tcPr>
            <w:tcW w:type="dxa" w:w="2880"/>
          </w:tcPr>
          <w:p>
            <w:r>
              <w:t>rotina mensal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  <w:color w:val="595959"/>
          <w:sz w:val="18"/>
        </w:rPr>
        <w:t>Técnico (para referência): 16 commits na main do smart-dealer, build de produção passando, 13 telas testadas com login real, deploys feitos via push na main (Vercel) — o último na manhã de 07/08. Scripts mensais em smart-dealer/scripts/. A chave Anthropic que apareceu em chat antigo segue pendente de rotação.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