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Análisis Financiero - Proyecto SuperLocaliza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Este documento presenta la interpretación detallada del Resumen de Indicadores Financieros del proyecto SuperLocaliza. Se analizan los resultados bajo tres escenarios: Peor, Medio y Mejor, considerando el Valor Actual Neto (VAN), la Tasa Interna de Retorno (TIR), el Payback y el Flujo Neto Anual.</w:t>
      </w:r>
    </w:p>
    <w:p w:rsidR="00000000" w:rsidDel="00000000" w:rsidP="00000000" w:rsidRDefault="00000000" w:rsidRPr="00000000" w14:paraId="00000003">
      <w:pPr>
        <w:pStyle w:val="Heading2"/>
        <w:rPr/>
      </w:pPr>
      <w:r w:rsidDel="00000000" w:rsidR="00000000" w:rsidRPr="00000000">
        <w:rPr>
          <w:rtl w:val="0"/>
        </w:rPr>
        <w:t xml:space="preserve">1. Escenario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El análisis se realiza bajo tres condiciones posibles:</w:t>
        <w:br w:type="textWrapping"/>
        <w:t xml:space="preserve">- Peor: escenario conservador con ventas bajas (1 contrato mensual).</w:t>
        <w:br w:type="textWrapping"/>
        <w:t xml:space="preserve">- Medio: escenario realista con ventas esperadas (2 contratos mensuales).</w:t>
        <w:br w:type="textWrapping"/>
        <w:t xml:space="preserve">- Mejor: escenario optimista con alto nivel de ventas (3 contratos mensuales).</w:t>
      </w:r>
    </w:p>
    <w:p w:rsidR="00000000" w:rsidDel="00000000" w:rsidP="00000000" w:rsidRDefault="00000000" w:rsidRPr="00000000" w14:paraId="00000005">
      <w:pPr>
        <w:pStyle w:val="Heading2"/>
        <w:rPr/>
      </w:pPr>
      <w:r w:rsidDel="00000000" w:rsidR="00000000" w:rsidRPr="00000000">
        <w:rPr>
          <w:rtl w:val="0"/>
        </w:rPr>
        <w:t xml:space="preserve">2. Valor Actual Neto (VAN, 15% anual)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El VAN representa el valor que genera el proyecto descontando los flujos futuros al presente, usando una tasa de descuento del 15% anual. Un VAN positivo indica que el proyecto es rentable, mientras que un VAN negativo refleja pérdida de valor.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• Peor: VAN = –$355.295 → No rentable, el valor descontado de los flujos no cubre la inversión.</w:t>
        <w:br w:type="textWrapping"/>
        <w:t xml:space="preserve">• Medio: VAN = $8.446.267 → Rentable, genera valor y supera la tasa mínima esperada.</w:t>
        <w:br w:type="textWrapping"/>
        <w:t xml:space="preserve">• Mejor: VAN = $17.247.828 → Altamente rentable, con gran generación de valor.</w:t>
      </w:r>
    </w:p>
    <w:p w:rsidR="00000000" w:rsidDel="00000000" w:rsidP="00000000" w:rsidRDefault="00000000" w:rsidRPr="00000000" w14:paraId="00000008">
      <w:pPr>
        <w:pStyle w:val="Heading2"/>
        <w:rPr/>
      </w:pPr>
      <w:r w:rsidDel="00000000" w:rsidR="00000000" w:rsidRPr="00000000">
        <w:rPr>
          <w:rtl w:val="0"/>
        </w:rPr>
        <w:t xml:space="preserve">3. Tasa Interna de Retorno (TIR)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La TIR mide la rentabilidad del proyecto según sus flujos de caja. Se muestra como TIR mensual y su equivalente anual.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• Peor: TIR mensual = 0,48% / TIR anual = 5,95% → Baja rentabilidad, inferior al 15%.</w:t>
        <w:br w:type="textWrapping"/>
        <w:t xml:space="preserve">• Medio: TIR mensual = 14,08% / TIR anual = 385,6% → Rentabilidad alta, proyecto atractivo.</w:t>
        <w:br w:type="textWrapping"/>
        <w:t xml:space="preserve">• Mejor: TIR mensual = 24,43% / TIR anual = 1.277,6% → Rentabilidad excepcional.</w:t>
      </w:r>
    </w:p>
    <w:p w:rsidR="00000000" w:rsidDel="00000000" w:rsidP="00000000" w:rsidRDefault="00000000" w:rsidRPr="00000000" w14:paraId="0000000B">
      <w:pPr>
        <w:pStyle w:val="Heading2"/>
        <w:rPr/>
      </w:pPr>
      <w:r w:rsidDel="00000000" w:rsidR="00000000" w:rsidRPr="00000000">
        <w:rPr>
          <w:rtl w:val="0"/>
        </w:rPr>
        <w:t xml:space="preserve">4. Payback (Meses)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El Payback indica el tiempo en meses necesario para recuperar la inversión inicial. Cuanto menor sea el valor, más rápido se recupera la inversión.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• Peor: 12 meses → Se recupera recién al finalizar el año.</w:t>
        <w:br w:type="textWrapping"/>
        <w:t xml:space="preserve">• Medio: 7 meses → Se recupera en el mes 7.</w:t>
        <w:br w:type="textWrapping"/>
        <w:t xml:space="preserve">• Mejor: 5 meses → Recuperación rápida y eficiente.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rPr/>
      </w:pPr>
      <w:r w:rsidDel="00000000" w:rsidR="00000000" w:rsidRPr="00000000">
        <w:rPr>
          <w:rtl w:val="0"/>
        </w:rPr>
        <w:t xml:space="preserve">5. Flujo Neto Anual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Corresponde a la suma de todas las utilidades netas del año, sin descontar la inversión. Permite visualizar el flujo total generado durante el periodo anual.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• Peor: $7.750.276 → Flujo bajo, apenas cubre la inversión.</w:t>
        <w:br w:type="textWrapping"/>
        <w:t xml:space="preserve">• Medio: $17.300.552 → Flujo alto, rentable.</w:t>
        <w:br w:type="textWrapping"/>
        <w:t xml:space="preserve">• Mejor: $26.850.828 → Flujo excelente, alto rendimiento.</w:t>
      </w:r>
    </w:p>
    <w:p w:rsidR="00000000" w:rsidDel="00000000" w:rsidP="00000000" w:rsidRDefault="00000000" w:rsidRPr="00000000" w14:paraId="00000012">
      <w:pPr>
        <w:pStyle w:val="Heading2"/>
        <w:rPr/>
      </w:pPr>
      <w:r w:rsidDel="00000000" w:rsidR="00000000" w:rsidRPr="00000000">
        <w:rPr>
          <w:rtl w:val="0"/>
        </w:rPr>
        <w:t xml:space="preserve">6. Resumen Comparativo de Escenarios</w:t>
      </w:r>
    </w:p>
    <w:tbl>
      <w:tblPr>
        <w:tblStyle w:val="Table1"/>
        <w:tblW w:w="8640.0" w:type="dxa"/>
        <w:jc w:val="left"/>
        <w:tblInd w:w="-115.0" w:type="dxa"/>
        <w:tblLayout w:type="fixed"/>
        <w:tblLook w:val="0400"/>
      </w:tblPr>
      <w:tblGrid>
        <w:gridCol w:w="1728"/>
        <w:gridCol w:w="1728"/>
        <w:gridCol w:w="1728"/>
        <w:gridCol w:w="1728"/>
        <w:gridCol w:w="1728"/>
        <w:tblGridChange w:id="0">
          <w:tblGrid>
            <w:gridCol w:w="1728"/>
            <w:gridCol w:w="1728"/>
            <w:gridCol w:w="1728"/>
            <w:gridCol w:w="1728"/>
            <w:gridCol w:w="17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Indicador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Peor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Medio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Mejor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Interpretación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VAN (15%)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-$355.295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$8.446.267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$17.247.828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Solo los escenarios medio y mejor generan valor.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TIR mensual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0,48%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14,08%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24,43%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Rentabilidad baja, buena y excelente respectivamente.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TIR anual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5,95%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385,6%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1.277,6%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Crecimiento exponencial en escenarios favorables.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Payback (meses)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Recuperación más rápida con mayor nivel de ventas.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Flujo Neto Anual</w:t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$7.750.276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$17.300.552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$26.850.828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Ganancia total anual por escenario.</w:t>
            </w:r>
          </w:p>
        </w:tc>
      </w:tr>
    </w:tbl>
    <w:p w:rsidR="00000000" w:rsidDel="00000000" w:rsidP="00000000" w:rsidRDefault="00000000" w:rsidRPr="00000000" w14:paraId="00000031">
      <w:pPr>
        <w:pStyle w:val="Heading2"/>
        <w:rPr/>
      </w:pPr>
      <w:r w:rsidDel="00000000" w:rsidR="00000000" w:rsidRPr="00000000">
        <w:rPr>
          <w:rtl w:val="0"/>
        </w:rPr>
        <w:t xml:space="preserve">7. Conclusión Final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El análisis demuestra que el proyecto SuperLocaliza es financieramente viable bajo los escenarios Medio y Mejor. En el escenario Peor, la baja rentabilidad y el VAN negativo muestran que no se alcanzaría la rentabilidad mínima esperada. En cambio, en el escenario Medio, la TIR supera ampliamente el 15% anual, con un payback de 7 meses y un VAN positivo, lo que confirma su factibilidad. En el escenario Mejor, el proyecto es altamente rentable, recuperando la inversión en solo 5 meses.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dm2yJ4nCuZZ+6cJM5jycOXL5+g==">CgMxLjA4AHIhMTRXOGluRjRUYmZXX2hfeTdBbEZBWS1ia3NPeEZ2dkRx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