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00CC6EB0">
      <w:pPr>
        <w:ind w:left="708" w:hanging="708"/>
      </w:pPr>
    </w:p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290D708A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r w:rsidR="00060659" w:rsidRPr="3D28A338">
              <w:rPr>
                <w:rFonts w:eastAsiaTheme="majorEastAsia"/>
                <w:sz w:val="24"/>
                <w:szCs w:val="24"/>
              </w:rPr>
              <w:t>tú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6D6E9C98" w:rsidR="004F2A8B" w:rsidRDefault="00CC6EB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>En términos generales, las actividades se desarrollaron conforme a los plazos establecidos en el Gantt. Solo se presentaron leves retrasos —de aproximadamente un día— debido a ajustes en el alcance del proyecto y a retroalimentaciones que llegaron más tarde de lo previsto.</w:t>
            </w:r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br/>
              <w:t xml:space="preserve">Entre los factores que facilitaron el avance destacan la </w:t>
            </w:r>
            <w:r w:rsidRPr="00CC6EB0">
              <w:rPr>
                <w:rFonts w:ascii="Arial" w:eastAsiaTheme="majorEastAsia" w:hAnsi="Arial" w:cs="Arial"/>
                <w:b/>
                <w:bCs/>
                <w:color w:val="002060"/>
                <w:sz w:val="20"/>
                <w:szCs w:val="20"/>
              </w:rPr>
              <w:t>claridad del diccionario de datos y los mockups</w:t>
            </w:r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 xml:space="preserve">, el </w:t>
            </w:r>
            <w:r w:rsidRPr="00CC6EB0">
              <w:rPr>
                <w:rFonts w:ascii="Arial" w:eastAsiaTheme="majorEastAsia" w:hAnsi="Arial" w:cs="Arial"/>
                <w:b/>
                <w:bCs/>
                <w:color w:val="002060"/>
                <w:sz w:val="20"/>
                <w:szCs w:val="20"/>
              </w:rPr>
              <w:t>uso de herramientas colaborativas como draw.io</w:t>
            </w:r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 xml:space="preserve"> y el </w:t>
            </w:r>
            <w:r w:rsidRPr="00CC6EB0">
              <w:rPr>
                <w:rFonts w:ascii="Arial" w:eastAsiaTheme="majorEastAsia" w:hAnsi="Arial" w:cs="Arial"/>
                <w:b/>
                <w:bCs/>
                <w:color w:val="002060"/>
                <w:sz w:val="20"/>
                <w:szCs w:val="20"/>
              </w:rPr>
              <w:t>control de versiones</w:t>
            </w:r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 xml:space="preserve">, además de la planificación en </w:t>
            </w:r>
            <w:proofErr w:type="spellStart"/>
            <w:r w:rsidRPr="00CC6EB0">
              <w:rPr>
                <w:rFonts w:ascii="Arial" w:eastAsiaTheme="majorEastAsia" w:hAnsi="Arial" w:cs="Arial"/>
                <w:b/>
                <w:bCs/>
                <w:color w:val="002060"/>
                <w:sz w:val="20"/>
                <w:szCs w:val="20"/>
              </w:rPr>
              <w:t>sprints</w:t>
            </w:r>
            <w:proofErr w:type="spellEnd"/>
            <w:r w:rsidRPr="00CC6EB0">
              <w:rPr>
                <w:rFonts w:ascii="Arial" w:eastAsiaTheme="majorEastAsia" w:hAnsi="Arial" w:cs="Arial"/>
                <w:b/>
                <w:bCs/>
                <w:color w:val="002060"/>
                <w:sz w:val="20"/>
                <w:szCs w:val="20"/>
              </w:rPr>
              <w:t xml:space="preserve"> breves</w:t>
            </w:r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>, lo que permitió una rápida adaptación.</w:t>
            </w:r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br/>
              <w:t xml:space="preserve">Como elementos que dificultaron el proceso, se identificaron </w:t>
            </w:r>
            <w:r w:rsidRPr="00CC6EB0">
              <w:rPr>
                <w:rFonts w:ascii="Arial" w:eastAsiaTheme="majorEastAsia" w:hAnsi="Arial" w:cs="Arial"/>
                <w:b/>
                <w:bCs/>
                <w:color w:val="002060"/>
                <w:sz w:val="20"/>
                <w:szCs w:val="20"/>
              </w:rPr>
              <w:t>cambios de alcance durante iteraciones en curso</w:t>
            </w:r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 xml:space="preserve">, </w:t>
            </w:r>
            <w:r w:rsidRPr="00CC6EB0">
              <w:rPr>
                <w:rFonts w:ascii="Arial" w:eastAsiaTheme="majorEastAsia" w:hAnsi="Arial" w:cs="Arial"/>
                <w:b/>
                <w:bCs/>
                <w:color w:val="002060"/>
                <w:sz w:val="20"/>
                <w:szCs w:val="20"/>
              </w:rPr>
              <w:t>pequeñas inconsistencias entre el diccionario de datos y el modelo entidad–relación</w:t>
            </w:r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 xml:space="preserve">, y la </w:t>
            </w:r>
            <w:r w:rsidRPr="00CC6EB0">
              <w:rPr>
                <w:rFonts w:ascii="Arial" w:eastAsiaTheme="majorEastAsia" w:hAnsi="Arial" w:cs="Arial"/>
                <w:b/>
                <w:bCs/>
                <w:color w:val="002060"/>
                <w:sz w:val="20"/>
                <w:szCs w:val="20"/>
              </w:rPr>
              <w:t>falta de datos reales para pruebas de rendimiento y validación temporal</w:t>
            </w:r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>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2868E2CA" w:rsidR="004F2A8B" w:rsidRDefault="00CC6EB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 xml:space="preserve">Para mitigar las dificultades, se implementaron </w:t>
            </w:r>
            <w:r w:rsidRPr="00CC6EB0">
              <w:rPr>
                <w:rFonts w:ascii="Arial" w:eastAsiaTheme="majorEastAsia" w:hAnsi="Arial" w:cs="Arial"/>
                <w:b/>
                <w:bCs/>
                <w:color w:val="002060"/>
                <w:sz w:val="20"/>
                <w:szCs w:val="20"/>
              </w:rPr>
              <w:t>políticas de congelamiento de alcance por sprint</w:t>
            </w:r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 xml:space="preserve">, asegurando estabilidad en cada ciclo de desarrollo. Se estableció además una </w:t>
            </w:r>
            <w:r w:rsidRPr="00CC6EB0">
              <w:rPr>
                <w:rFonts w:ascii="Arial" w:eastAsiaTheme="majorEastAsia" w:hAnsi="Arial" w:cs="Arial"/>
                <w:b/>
                <w:bCs/>
                <w:color w:val="002060"/>
                <w:sz w:val="20"/>
                <w:szCs w:val="20"/>
              </w:rPr>
              <w:t>fuente única de verdad</w:t>
            </w:r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 xml:space="preserve"> mediante la conciliación entre el diccionario de datos y el modelo ER, evitando duplicidades o ambigüedades.</w:t>
            </w:r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br/>
              <w:t xml:space="preserve">Adicionalmente, se generaron </w:t>
            </w:r>
            <w:r w:rsidRPr="00CC6EB0">
              <w:rPr>
                <w:rFonts w:ascii="Arial" w:eastAsiaTheme="majorEastAsia" w:hAnsi="Arial" w:cs="Arial"/>
                <w:b/>
                <w:bCs/>
                <w:color w:val="002060"/>
                <w:sz w:val="20"/>
                <w:szCs w:val="20"/>
              </w:rPr>
              <w:t>datos sintéticos y scripts de prueba</w:t>
            </w:r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 xml:space="preserve"> para validar las funcionalidades, y se planificaron </w:t>
            </w:r>
            <w:r w:rsidRPr="00CC6EB0">
              <w:rPr>
                <w:rFonts w:ascii="Arial" w:eastAsiaTheme="majorEastAsia" w:hAnsi="Arial" w:cs="Arial"/>
                <w:b/>
                <w:bCs/>
                <w:color w:val="002060"/>
                <w:sz w:val="20"/>
                <w:szCs w:val="20"/>
              </w:rPr>
              <w:t>revisiones periódicas</w:t>
            </w:r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 xml:space="preserve"> que permitieron paralelizar tareas de </w:t>
            </w:r>
            <w:r w:rsidRPr="00CC6EB0">
              <w:rPr>
                <w:rFonts w:ascii="Arial" w:eastAsiaTheme="majorEastAsia" w:hAnsi="Arial" w:cs="Arial"/>
                <w:b/>
                <w:bCs/>
                <w:color w:val="002060"/>
                <w:sz w:val="20"/>
                <w:szCs w:val="20"/>
              </w:rPr>
              <w:t>QA y documentación</w:t>
            </w:r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>. Estas acciones redujeron la necesidad de replanificación y ayudaron a recuperar holguras en el cronograma, manteniendo la consistencia de los entregables.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64EC45F6" w:rsidR="004F2A8B" w:rsidRDefault="00CC6EB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 xml:space="preserve">Considero que el trabajo ha sido </w:t>
            </w:r>
            <w:r w:rsidRPr="00CC6EB0">
              <w:rPr>
                <w:rFonts w:ascii="Arial" w:eastAsiaTheme="majorEastAsia" w:hAnsi="Arial" w:cs="Arial"/>
                <w:b/>
                <w:bCs/>
                <w:color w:val="002060"/>
                <w:sz w:val="20"/>
                <w:szCs w:val="20"/>
              </w:rPr>
              <w:t>consistente, bien estructurado y con trazabilidad clara</w:t>
            </w:r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 xml:space="preserve"> entre procesos, datos y arquitectura. Las decisiones técnicas fueron documentadas y se mantuvo una planificación efectiva basada en </w:t>
            </w:r>
            <w:proofErr w:type="spellStart"/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>sprints</w:t>
            </w:r>
            <w:proofErr w:type="spellEnd"/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>.</w:t>
            </w:r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br/>
              <w:t xml:space="preserve">Entre los aspectos más destacables se encuentran la </w:t>
            </w:r>
            <w:r w:rsidRPr="00CC6EB0">
              <w:rPr>
                <w:rFonts w:ascii="Arial" w:eastAsiaTheme="majorEastAsia" w:hAnsi="Arial" w:cs="Arial"/>
                <w:b/>
                <w:bCs/>
                <w:color w:val="002060"/>
                <w:sz w:val="20"/>
                <w:szCs w:val="20"/>
              </w:rPr>
              <w:t>organización metodológica</w:t>
            </w:r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 xml:space="preserve"> y la </w:t>
            </w:r>
            <w:r w:rsidRPr="00CC6EB0">
              <w:rPr>
                <w:rFonts w:ascii="Arial" w:eastAsiaTheme="majorEastAsia" w:hAnsi="Arial" w:cs="Arial"/>
                <w:b/>
                <w:bCs/>
                <w:color w:val="002060"/>
                <w:sz w:val="20"/>
                <w:szCs w:val="20"/>
              </w:rPr>
              <w:t>calidad de los diagramas</w:t>
            </w:r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 xml:space="preserve"> producidos.</w:t>
            </w:r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br/>
              <w:t xml:space="preserve">Como oportunidades de mejora, identifico la necesidad de </w:t>
            </w:r>
            <w:r w:rsidRPr="00CC6EB0">
              <w:rPr>
                <w:rFonts w:ascii="Arial" w:eastAsiaTheme="majorEastAsia" w:hAnsi="Arial" w:cs="Arial"/>
                <w:b/>
                <w:bCs/>
                <w:color w:val="002060"/>
                <w:sz w:val="20"/>
                <w:szCs w:val="20"/>
              </w:rPr>
              <w:t>reducir los tiempos de revisión</w:t>
            </w:r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 xml:space="preserve">, </w:t>
            </w:r>
            <w:r w:rsidRPr="00CC6EB0">
              <w:rPr>
                <w:rFonts w:ascii="Arial" w:eastAsiaTheme="majorEastAsia" w:hAnsi="Arial" w:cs="Arial"/>
                <w:b/>
                <w:bCs/>
                <w:color w:val="002060"/>
                <w:sz w:val="20"/>
                <w:szCs w:val="20"/>
              </w:rPr>
              <w:t>homogeneizar estilos y convenciones gráficas desde etapas tempranas</w:t>
            </w:r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 xml:space="preserve">, y </w:t>
            </w:r>
            <w:r w:rsidRPr="00CC6EB0">
              <w:rPr>
                <w:rFonts w:ascii="Arial" w:eastAsiaTheme="majorEastAsia" w:hAnsi="Arial" w:cs="Arial"/>
                <w:b/>
                <w:bCs/>
                <w:color w:val="002060"/>
                <w:sz w:val="20"/>
                <w:szCs w:val="20"/>
              </w:rPr>
              <w:t>validar con datos de prueba reales desde el inicio</w:t>
            </w:r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>.</w:t>
            </w:r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br/>
              <w:t xml:space="preserve">Para abordar estos puntos, se incorporará un </w:t>
            </w:r>
            <w:proofErr w:type="spellStart"/>
            <w:r w:rsidRPr="00CC6EB0">
              <w:rPr>
                <w:rFonts w:ascii="Arial" w:eastAsiaTheme="majorEastAsia" w:hAnsi="Arial" w:cs="Arial"/>
                <w:b/>
                <w:bCs/>
                <w:color w:val="002060"/>
                <w:sz w:val="20"/>
                <w:szCs w:val="20"/>
              </w:rPr>
              <w:t>checklist</w:t>
            </w:r>
            <w:proofErr w:type="spellEnd"/>
            <w:r w:rsidRPr="00CC6EB0">
              <w:rPr>
                <w:rFonts w:ascii="Arial" w:eastAsiaTheme="majorEastAsia" w:hAnsi="Arial" w:cs="Arial"/>
                <w:b/>
                <w:bCs/>
                <w:color w:val="002060"/>
                <w:sz w:val="20"/>
                <w:szCs w:val="20"/>
              </w:rPr>
              <w:t xml:space="preserve"> de cierre por sprint</w:t>
            </w:r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 xml:space="preserve">, un </w:t>
            </w:r>
            <w:r w:rsidRPr="00CC6EB0">
              <w:rPr>
                <w:rFonts w:ascii="Arial" w:eastAsiaTheme="majorEastAsia" w:hAnsi="Arial" w:cs="Arial"/>
                <w:b/>
                <w:bCs/>
                <w:color w:val="002060"/>
                <w:sz w:val="20"/>
                <w:szCs w:val="20"/>
              </w:rPr>
              <w:t>bloque diario dedicado a QA/documentación</w:t>
            </w:r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 xml:space="preserve">, y la </w:t>
            </w:r>
            <w:r w:rsidRPr="00CC6EB0">
              <w:rPr>
                <w:rFonts w:ascii="Arial" w:eastAsiaTheme="majorEastAsia" w:hAnsi="Arial" w:cs="Arial"/>
                <w:b/>
                <w:bCs/>
                <w:color w:val="002060"/>
                <w:sz w:val="20"/>
                <w:szCs w:val="20"/>
              </w:rPr>
              <w:t>automatización de exportes desde draw.io</w:t>
            </w:r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 xml:space="preserve"> para optimizar el flujo de entrega.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533FC265" w:rsidR="004F2A8B" w:rsidRDefault="00CC6EB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 xml:space="preserve">Una duda que surge tras revisar el avance del proyecto es si el </w:t>
            </w:r>
            <w:r w:rsidRPr="00CC6EB0">
              <w:rPr>
                <w:rFonts w:ascii="Arial" w:eastAsiaTheme="majorEastAsia" w:hAnsi="Arial" w:cs="Arial"/>
                <w:b/>
                <w:bCs/>
                <w:color w:val="002060"/>
                <w:sz w:val="20"/>
                <w:szCs w:val="20"/>
              </w:rPr>
              <w:t>nivel de detalle actual en los diagramas de despliegue y vista física</w:t>
            </w:r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 xml:space="preserve"> resulta suficiente, o si sería conveniente </w:t>
            </w:r>
            <w:r w:rsidRPr="00CC6EB0">
              <w:rPr>
                <w:rFonts w:ascii="Arial" w:eastAsiaTheme="majorEastAsia" w:hAnsi="Arial" w:cs="Arial"/>
                <w:b/>
                <w:bCs/>
                <w:color w:val="002060"/>
                <w:sz w:val="20"/>
                <w:szCs w:val="20"/>
              </w:rPr>
              <w:t>añadir una lámina complementaria</w:t>
            </w:r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 xml:space="preserve"> que incluya </w:t>
            </w:r>
            <w:r w:rsidRPr="00CC6EB0">
              <w:rPr>
                <w:rFonts w:ascii="Arial" w:eastAsiaTheme="majorEastAsia" w:hAnsi="Arial" w:cs="Arial"/>
                <w:b/>
                <w:bCs/>
                <w:color w:val="002060"/>
                <w:sz w:val="20"/>
                <w:szCs w:val="20"/>
              </w:rPr>
              <w:t>controles de seguridad (roles, firewall, métricas operativas básicas)</w:t>
            </w:r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>.</w:t>
            </w:r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br/>
              <w:t xml:space="preserve">Asimismo, se plantea si para la evaluación final se espera </w:t>
            </w:r>
            <w:r w:rsidRPr="00CC6EB0">
              <w:rPr>
                <w:rFonts w:ascii="Arial" w:eastAsiaTheme="majorEastAsia" w:hAnsi="Arial" w:cs="Arial"/>
                <w:b/>
                <w:bCs/>
                <w:color w:val="002060"/>
                <w:sz w:val="20"/>
                <w:szCs w:val="20"/>
              </w:rPr>
              <w:t>alguna evidencia de prueba de rendimiento</w:t>
            </w:r>
            <w:r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>.</w:t>
            </w: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¿Consideran que las actividades deben ser redistribuidas entre los miembros del grupo? ¿Hay nuevas actividades que deban ser asignadas a algún miembro del grupo?</w:t>
            </w:r>
          </w:p>
          <w:p w14:paraId="3CE59CD3" w14:textId="77777777" w:rsidR="00060659" w:rsidRDefault="0006065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8DCB3B" w14:textId="1649F2F4" w:rsidR="00CC6EB0" w:rsidRPr="00CC6EB0" w:rsidRDefault="00CC6EB0" w:rsidP="00CC6EB0">
            <w:pPr>
              <w:jc w:val="both"/>
              <w:rPr>
                <w:rFonts w:ascii="Arial" w:eastAsiaTheme="majorEastAsia" w:hAnsi="Arial" w:cs="Arial"/>
                <w:color w:val="002060"/>
                <w:sz w:val="20"/>
                <w:szCs w:val="20"/>
              </w:rPr>
            </w:pPr>
            <w:r w:rsidRPr="00CC6EB0">
              <w:rPr>
                <w:rFonts w:ascii="Arial" w:eastAsiaTheme="majorEastAsia" w:hAnsi="Arial" w:cs="Arial"/>
                <w:b/>
                <w:bCs/>
                <w:color w:val="002060"/>
                <w:sz w:val="20"/>
                <w:szCs w:val="20"/>
              </w:rPr>
              <w:t>QA y documentación</w:t>
            </w:r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 xml:space="preserve"> (estilos, pies de página, numeración) → asignar a un responsable.</w:t>
            </w:r>
          </w:p>
          <w:p w14:paraId="00BA70A7" w14:textId="433D3095" w:rsidR="00CC6EB0" w:rsidRPr="00CC6EB0" w:rsidRDefault="00CC6EB0" w:rsidP="00CC6EB0">
            <w:pPr>
              <w:jc w:val="both"/>
              <w:rPr>
                <w:rFonts w:ascii="Arial" w:eastAsiaTheme="majorEastAsia" w:hAnsi="Arial" w:cs="Arial"/>
                <w:color w:val="002060"/>
                <w:sz w:val="20"/>
                <w:szCs w:val="20"/>
              </w:rPr>
            </w:pPr>
            <w:r w:rsidRPr="00CC6EB0">
              <w:rPr>
                <w:rFonts w:ascii="Arial" w:eastAsiaTheme="majorEastAsia" w:hAnsi="Arial" w:cs="Arial"/>
                <w:b/>
                <w:bCs/>
                <w:color w:val="002060"/>
                <w:sz w:val="20"/>
                <w:szCs w:val="20"/>
              </w:rPr>
              <w:t>Evidencias y anexos</w:t>
            </w:r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 xml:space="preserve"> (exportes, empaquetado de entregables) → asignar a un responsable.</w:t>
            </w:r>
          </w:p>
          <w:p w14:paraId="0B805E75" w14:textId="4D532A39" w:rsidR="00CC6EB0" w:rsidRPr="00CC6EB0" w:rsidRDefault="00CC6EB0" w:rsidP="00CC6EB0">
            <w:pPr>
              <w:jc w:val="both"/>
              <w:rPr>
                <w:rFonts w:ascii="Arial" w:eastAsiaTheme="majorEastAsia" w:hAnsi="Arial" w:cs="Arial"/>
                <w:color w:val="002060"/>
                <w:sz w:val="20"/>
                <w:szCs w:val="20"/>
              </w:rPr>
            </w:pPr>
            <w:r w:rsidRPr="00CC6EB0">
              <w:rPr>
                <w:rFonts w:ascii="Arial" w:eastAsiaTheme="majorEastAsia" w:hAnsi="Arial" w:cs="Arial"/>
                <w:b/>
                <w:bCs/>
                <w:color w:val="002060"/>
                <w:sz w:val="20"/>
                <w:szCs w:val="20"/>
              </w:rPr>
              <w:t>Presentación final</w:t>
            </w:r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 xml:space="preserve"> (guion y demostración de artefactos) → asignar a un responsable.</w:t>
            </w:r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br/>
              <w:t xml:space="preserve">Además, se agregan pequeñas actividades complementarias, como la </w:t>
            </w:r>
            <w:r w:rsidRPr="00CC6EB0">
              <w:rPr>
                <w:rFonts w:ascii="Arial" w:eastAsiaTheme="majorEastAsia" w:hAnsi="Arial" w:cs="Arial"/>
                <w:b/>
                <w:bCs/>
                <w:color w:val="002060"/>
                <w:sz w:val="20"/>
                <w:szCs w:val="20"/>
              </w:rPr>
              <w:t>creación de un script de datos semilla para las demostraciones</w:t>
            </w:r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 xml:space="preserve"> y el diseño de un </w:t>
            </w:r>
            <w:r w:rsidRPr="00CC6EB0">
              <w:rPr>
                <w:rFonts w:ascii="Arial" w:eastAsiaTheme="majorEastAsia" w:hAnsi="Arial" w:cs="Arial"/>
                <w:b/>
                <w:bCs/>
                <w:color w:val="002060"/>
                <w:sz w:val="20"/>
                <w:szCs w:val="20"/>
              </w:rPr>
              <w:t xml:space="preserve">plan breve de pruebas E2E y </w:t>
            </w:r>
            <w:proofErr w:type="spellStart"/>
            <w:r w:rsidRPr="00CC6EB0">
              <w:rPr>
                <w:rFonts w:ascii="Arial" w:eastAsiaTheme="majorEastAsia" w:hAnsi="Arial" w:cs="Arial"/>
                <w:b/>
                <w:bCs/>
                <w:color w:val="002060"/>
                <w:sz w:val="20"/>
                <w:szCs w:val="20"/>
              </w:rPr>
              <w:t>observabilidad</w:t>
            </w:r>
            <w:proofErr w:type="spellEnd"/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 xml:space="preserve"> para la siguiente fase del proyecto.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191EA2E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BC7DC97" w:rsidR="004F2A8B" w:rsidRPr="00CC6EB0" w:rsidRDefault="00CC6EB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</w:rPr>
            </w:pPr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 xml:space="preserve">El desempeño grupal ha sido positivo. El equipo mantiene </w:t>
            </w:r>
            <w:r w:rsidRPr="00CC6EB0">
              <w:rPr>
                <w:rFonts w:ascii="Arial" w:eastAsiaTheme="majorEastAsia" w:hAnsi="Arial" w:cs="Arial"/>
                <w:b/>
                <w:bCs/>
                <w:color w:val="002060"/>
                <w:sz w:val="20"/>
                <w:szCs w:val="20"/>
              </w:rPr>
              <w:t>compromiso, cumplimiento de hitos y calidad en los entregables</w:t>
            </w:r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 xml:space="preserve">. Se destaca la </w:t>
            </w:r>
            <w:r w:rsidRPr="00CC6EB0">
              <w:rPr>
                <w:rFonts w:ascii="Arial" w:eastAsiaTheme="majorEastAsia" w:hAnsi="Arial" w:cs="Arial"/>
                <w:b/>
                <w:bCs/>
                <w:color w:val="002060"/>
                <w:sz w:val="20"/>
                <w:szCs w:val="20"/>
              </w:rPr>
              <w:t>colaboración constante</w:t>
            </w:r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 xml:space="preserve">, la </w:t>
            </w:r>
            <w:r w:rsidRPr="00CC6EB0">
              <w:rPr>
                <w:rFonts w:ascii="Arial" w:eastAsiaTheme="majorEastAsia" w:hAnsi="Arial" w:cs="Arial"/>
                <w:b/>
                <w:bCs/>
                <w:color w:val="002060"/>
                <w:sz w:val="20"/>
                <w:szCs w:val="20"/>
              </w:rPr>
              <w:t>disposición a apoyar entre pares</w:t>
            </w:r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 xml:space="preserve"> y la </w:t>
            </w:r>
            <w:r w:rsidRPr="00CC6EB0">
              <w:rPr>
                <w:rFonts w:ascii="Arial" w:eastAsiaTheme="majorEastAsia" w:hAnsi="Arial" w:cs="Arial"/>
                <w:b/>
                <w:bCs/>
                <w:color w:val="002060"/>
                <w:sz w:val="20"/>
                <w:szCs w:val="20"/>
              </w:rPr>
              <w:t>agilidad en la toma de decisiones técnicas</w:t>
            </w:r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>.</w:t>
            </w:r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br/>
              <w:t xml:space="preserve">Como punto a mejorar, sería beneficioso fortalecer la </w:t>
            </w:r>
            <w:r w:rsidRPr="00CC6EB0">
              <w:rPr>
                <w:rFonts w:ascii="Arial" w:eastAsiaTheme="majorEastAsia" w:hAnsi="Arial" w:cs="Arial"/>
                <w:b/>
                <w:bCs/>
                <w:color w:val="002060"/>
                <w:sz w:val="20"/>
                <w:szCs w:val="20"/>
              </w:rPr>
              <w:t>comunicación proactiva</w:t>
            </w:r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 xml:space="preserve">, fomentando </w:t>
            </w:r>
            <w:r w:rsidRPr="00CC6EB0">
              <w:rPr>
                <w:rFonts w:ascii="Arial" w:eastAsiaTheme="majorEastAsia" w:hAnsi="Arial" w:cs="Arial"/>
                <w:b/>
                <w:bCs/>
                <w:color w:val="002060"/>
                <w:sz w:val="20"/>
                <w:szCs w:val="20"/>
              </w:rPr>
              <w:t>acuerdos documentados</w:t>
            </w:r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 xml:space="preserve"> y </w:t>
            </w:r>
            <w:r w:rsidRPr="00CC6EB0">
              <w:rPr>
                <w:rFonts w:ascii="Arial" w:eastAsiaTheme="majorEastAsia" w:hAnsi="Arial" w:cs="Arial"/>
                <w:b/>
                <w:bCs/>
                <w:color w:val="002060"/>
                <w:sz w:val="20"/>
                <w:szCs w:val="20"/>
              </w:rPr>
              <w:t>revisiones más oportunas</w:t>
            </w:r>
            <w:r w:rsidRPr="00CC6EB0">
              <w:rPr>
                <w:rFonts w:ascii="Arial" w:eastAsiaTheme="majorEastAsia" w:hAnsi="Arial" w:cs="Arial"/>
                <w:color w:val="002060"/>
                <w:sz w:val="20"/>
                <w:szCs w:val="20"/>
              </w:rPr>
              <w:t>, para asegurar una coordinación aún más efectiva en las próximas etapas.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8E0722" w14:textId="77777777" w:rsidR="00E57C02" w:rsidRDefault="00E57C02" w:rsidP="00DF38AE">
      <w:pPr>
        <w:spacing w:after="0" w:line="240" w:lineRule="auto"/>
      </w:pPr>
      <w:r>
        <w:separator/>
      </w:r>
    </w:p>
  </w:endnote>
  <w:endnote w:type="continuationSeparator" w:id="0">
    <w:p w14:paraId="5EFA150F" w14:textId="77777777" w:rsidR="00E57C02" w:rsidRDefault="00E57C0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195B5E" w14:textId="77777777" w:rsidR="00E57C02" w:rsidRDefault="00E57C02" w:rsidP="00DF38AE">
      <w:pPr>
        <w:spacing w:after="0" w:line="240" w:lineRule="auto"/>
      </w:pPr>
      <w:r>
        <w:separator/>
      </w:r>
    </w:p>
  </w:footnote>
  <w:footnote w:type="continuationSeparator" w:id="0">
    <w:p w14:paraId="7905BC26" w14:textId="77777777" w:rsidR="00E57C02" w:rsidRDefault="00E57C0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8907DB"/>
    <w:multiLevelType w:val="multilevel"/>
    <w:tmpl w:val="35349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0433224">
    <w:abstractNumId w:val="4"/>
  </w:num>
  <w:num w:numId="2" w16cid:durableId="408617396">
    <w:abstractNumId w:val="9"/>
  </w:num>
  <w:num w:numId="3" w16cid:durableId="1866938540">
    <w:abstractNumId w:val="13"/>
  </w:num>
  <w:num w:numId="4" w16cid:durableId="1922106344">
    <w:abstractNumId w:val="29"/>
  </w:num>
  <w:num w:numId="5" w16cid:durableId="1814365735">
    <w:abstractNumId w:val="31"/>
  </w:num>
  <w:num w:numId="6" w16cid:durableId="1331323928">
    <w:abstractNumId w:val="5"/>
  </w:num>
  <w:num w:numId="7" w16cid:durableId="650256233">
    <w:abstractNumId w:val="12"/>
  </w:num>
  <w:num w:numId="8" w16cid:durableId="769089362">
    <w:abstractNumId w:val="20"/>
  </w:num>
  <w:num w:numId="9" w16cid:durableId="45615436">
    <w:abstractNumId w:val="16"/>
  </w:num>
  <w:num w:numId="10" w16cid:durableId="555554779">
    <w:abstractNumId w:val="10"/>
  </w:num>
  <w:num w:numId="11" w16cid:durableId="286739064">
    <w:abstractNumId w:val="25"/>
  </w:num>
  <w:num w:numId="12" w16cid:durableId="1126199922">
    <w:abstractNumId w:val="36"/>
  </w:num>
  <w:num w:numId="13" w16cid:durableId="762265361">
    <w:abstractNumId w:val="30"/>
  </w:num>
  <w:num w:numId="14" w16cid:durableId="587270666">
    <w:abstractNumId w:val="1"/>
  </w:num>
  <w:num w:numId="15" w16cid:durableId="1971745246">
    <w:abstractNumId w:val="37"/>
  </w:num>
  <w:num w:numId="16" w16cid:durableId="1160150838">
    <w:abstractNumId w:val="22"/>
  </w:num>
  <w:num w:numId="17" w16cid:durableId="673579727">
    <w:abstractNumId w:val="18"/>
  </w:num>
  <w:num w:numId="18" w16cid:durableId="2132627390">
    <w:abstractNumId w:val="32"/>
  </w:num>
  <w:num w:numId="19" w16cid:durableId="1089351133">
    <w:abstractNumId w:val="11"/>
  </w:num>
  <w:num w:numId="20" w16cid:durableId="2047365445">
    <w:abstractNumId w:val="40"/>
  </w:num>
  <w:num w:numId="21" w16cid:durableId="1663702563">
    <w:abstractNumId w:val="35"/>
  </w:num>
  <w:num w:numId="22" w16cid:durableId="1132479187">
    <w:abstractNumId w:val="14"/>
  </w:num>
  <w:num w:numId="23" w16cid:durableId="294218912">
    <w:abstractNumId w:val="15"/>
  </w:num>
  <w:num w:numId="24" w16cid:durableId="313216743">
    <w:abstractNumId w:val="6"/>
  </w:num>
  <w:num w:numId="25" w16cid:durableId="1112240487">
    <w:abstractNumId w:val="17"/>
  </w:num>
  <w:num w:numId="26" w16cid:durableId="1861777816">
    <w:abstractNumId w:val="21"/>
  </w:num>
  <w:num w:numId="27" w16cid:durableId="2084058417">
    <w:abstractNumId w:val="24"/>
  </w:num>
  <w:num w:numId="28" w16cid:durableId="1534221646">
    <w:abstractNumId w:val="0"/>
  </w:num>
  <w:num w:numId="29" w16cid:durableId="716323236">
    <w:abstractNumId w:val="19"/>
  </w:num>
  <w:num w:numId="30" w16cid:durableId="298611291">
    <w:abstractNumId w:val="23"/>
  </w:num>
  <w:num w:numId="31" w16cid:durableId="492378493">
    <w:abstractNumId w:val="2"/>
  </w:num>
  <w:num w:numId="32" w16cid:durableId="1251425757">
    <w:abstractNumId w:val="8"/>
  </w:num>
  <w:num w:numId="33" w16cid:durableId="26954538">
    <w:abstractNumId w:val="33"/>
  </w:num>
  <w:num w:numId="34" w16cid:durableId="544949886">
    <w:abstractNumId w:val="39"/>
  </w:num>
  <w:num w:numId="35" w16cid:durableId="2048404523">
    <w:abstractNumId w:val="7"/>
  </w:num>
  <w:num w:numId="36" w16cid:durableId="1115247602">
    <w:abstractNumId w:val="26"/>
  </w:num>
  <w:num w:numId="37" w16cid:durableId="491023164">
    <w:abstractNumId w:val="38"/>
  </w:num>
  <w:num w:numId="38" w16cid:durableId="1004405839">
    <w:abstractNumId w:val="28"/>
  </w:num>
  <w:num w:numId="39" w16cid:durableId="491992423">
    <w:abstractNumId w:val="27"/>
  </w:num>
  <w:num w:numId="40" w16cid:durableId="1464931083">
    <w:abstractNumId w:val="34"/>
  </w:num>
  <w:num w:numId="41" w16cid:durableId="56980620">
    <w:abstractNumId w:val="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0659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01B4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6EB0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0F9F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57C02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786</Words>
  <Characters>4323</Characters>
  <Application>Microsoft Office Word</Application>
  <DocSecurity>0</DocSecurity>
  <Lines>36</Lines>
  <Paragraphs>10</Paragraphs>
  <ScaleCrop>false</ScaleCrop>
  <Company>Wal-Mart Stores, Inc.</Company>
  <LinksUpToDate>false</LinksUpToDate>
  <CharactersWithSpaces>5099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Dariac Isaac Saldias Nu�ez</cp:lastModifiedBy>
  <cp:revision>44</cp:revision>
  <cp:lastPrinted>2019-12-16T20:10:00Z</cp:lastPrinted>
  <dcterms:created xsi:type="dcterms:W3CDTF">2021-12-31T12:50:00Z</dcterms:created>
  <dcterms:modified xsi:type="dcterms:W3CDTF">2025-10-10T13:58:00Z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