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Quarterly Report</w:t>
      </w:r>
    </w:p>
    <w:p>
      <w:r>
        <w:t>Revenue grew in every region this quarter.</w:t>
      </w:r>
    </w:p>
    <w:p>
      <w:r>
        <w:t>Key highlights:</w:t>
      </w:r>
    </w:p>
    <w:p>
      <w:pPr>
        <w:numPr>
          <w:ilvl w:val="0"/>
          <w:numId w:val="1"/>
        </w:numPr>
      </w:pPr>
      <w:r>
        <w:t>North America led growth</w:t>
      </w:r>
    </w:p>
    <w:p>
      <w:pPr>
        <w:numPr>
          <w:ilvl w:val="0"/>
          <w:numId w:val="1"/>
        </w:numPr>
      </w:pPr>
      <w:r>
        <w:t>Europe followed closely</w:t>
      </w:r>
    </w:p>
    <w:tbl>
      <w:tr>
        <w:tc>
          <w:p>
            <w:r>
              <w:t>Region</w:t>
            </w:r>
          </w:p>
        </w:tc>
        <w:tc>
          <w:p>
            <w:r>
              <w:t>Revenue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120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95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num w:numId="1">
    <w:abstractNumId w:val="0"/>
  </w:num>
  <w:abstractNum w:abstractNumId="0">
    <w:lvl w:ilvl="0">
      <w:numFmt w:val="bullet"/>
      <w:lvlText w:val="*"/>
    </w:lvl>
  </w:abstract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