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Fisheries Research Short </w:t>
      </w:r>
      <w:commentRangeStart w:id="0"/>
      <w:commentRangeStart w:id="1"/>
      <w:r w:rsidDel="00000000" w:rsidR="00000000" w:rsidRPr="00000000">
        <w:rPr>
          <w:rFonts w:ascii="Times New Roman" w:cs="Times New Roman" w:eastAsia="Times New Roman" w:hAnsi="Times New Roman"/>
          <w:sz w:val="24"/>
          <w:szCs w:val="24"/>
          <w:rtl w:val="0"/>
        </w:rPr>
        <w:t xml:space="preserve">Communication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Towards triple separability: a proof-of-concept that simultaneously estimates correlations for age, year, and cohort effects in stock assessment processes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Many demographic processes vary by age and over time, and accounting for this variation within fisheries management remains a key challenge for many contemporary stock assessments. Although there is evidence for time, age, and cohort specific effects on various components within stock assessment (e.g., selectivity, growth), methods are lacking to simultaneously estimate autocorrelation over time, among ages, and by cohort while also quantifying residual variation. Drawing from previous research on separable cohort models, we reintroduce the idea of “triple-separability”, which simultaneously estimates autocorrelation for time, age, and cohort effects, and reduces to two-dimensional autocorrelation when one of the processes is fixed at zero. Utilizing XXX as a case-study, we illustrate differences in predicted weight-at-age values from models with and without a triple-separable assumption and show that traditional model selection tools can be used to identify the relative evidence and magnitude of age, time, and cohort effects. We recommend that the method be integrated as a routine option within next-generation stock assessments, and note that it generalizes widely-used options in existing assessment frameworks (i.e., WHAM and SAM).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Introduction</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Fisheries often experience dynamic shifts in demographic (e.g., growth, natural mortality, movement) and removal processes (e.g., fleet structure, selectivity), which can be facilitated by environmental forcing and management regulations </w:t>
      </w:r>
      <w:hyperlink r:id="rId7">
        <w:r w:rsidDel="00000000" w:rsidR="00000000" w:rsidRPr="00000000">
          <w:rPr>
            <w:rFonts w:ascii="Times New Roman" w:cs="Times New Roman" w:eastAsia="Times New Roman" w:hAnsi="Times New Roman"/>
            <w:sz w:val="24"/>
            <w:szCs w:val="24"/>
            <w:vertAlign w:val="baseline"/>
            <w:rtl w:val="0"/>
          </w:rPr>
          <w:t xml:space="preserve">(Eigaard </w:t>
        </w:r>
      </w:hyperlink>
      <w:hyperlink r:id="rId8">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9">
        <w:r w:rsidDel="00000000" w:rsidR="00000000" w:rsidRPr="00000000">
          <w:rPr>
            <w:rFonts w:ascii="Times New Roman" w:cs="Times New Roman" w:eastAsia="Times New Roman" w:hAnsi="Times New Roman"/>
            <w:sz w:val="24"/>
            <w:szCs w:val="24"/>
            <w:vertAlign w:val="baseline"/>
            <w:rtl w:val="0"/>
          </w:rPr>
          <w:t xml:space="preserve">, 2014; King </w:t>
        </w:r>
      </w:hyperlink>
      <w:hyperlink r:id="rId10">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11">
        <w:r w:rsidDel="00000000" w:rsidR="00000000" w:rsidRPr="00000000">
          <w:rPr>
            <w:rFonts w:ascii="Times New Roman" w:cs="Times New Roman" w:eastAsia="Times New Roman" w:hAnsi="Times New Roman"/>
            <w:sz w:val="24"/>
            <w:szCs w:val="24"/>
            <w:vertAlign w:val="baseline"/>
            <w:rtl w:val="0"/>
          </w:rPr>
          <w:t xml:space="preserve">, 2015)</w:t>
        </w:r>
      </w:hyperlink>
      <w:r w:rsidDel="00000000" w:rsidR="00000000" w:rsidRPr="00000000">
        <w:rPr>
          <w:rFonts w:ascii="Times New Roman" w:cs="Times New Roman" w:eastAsia="Times New Roman" w:hAnsi="Times New Roman"/>
          <w:sz w:val="24"/>
          <w:szCs w:val="24"/>
          <w:rtl w:val="0"/>
        </w:rPr>
        <w:t xml:space="preserve">. Although it is well recognized that these processes are correlated and vary across, space, time, ages, and cohorts </w:t>
      </w:r>
      <w:hyperlink r:id="rId12">
        <w:r w:rsidDel="00000000" w:rsidR="00000000" w:rsidRPr="00000000">
          <w:rPr>
            <w:rFonts w:ascii="Times New Roman" w:cs="Times New Roman" w:eastAsia="Times New Roman" w:hAnsi="Times New Roman"/>
            <w:sz w:val="24"/>
            <w:szCs w:val="24"/>
            <w:vertAlign w:val="baseline"/>
            <w:rtl w:val="0"/>
          </w:rPr>
          <w:t xml:space="preserve">(Sampson and Scott, 2012; Taylor and Methot, 2013; Thorson and Minte-Vera, 2016)</w:t>
        </w:r>
      </w:hyperlink>
      <w:r w:rsidDel="00000000" w:rsidR="00000000" w:rsidRPr="00000000">
        <w:rPr>
          <w:rFonts w:ascii="Times New Roman" w:cs="Times New Roman" w:eastAsia="Times New Roman" w:hAnsi="Times New Roman"/>
          <w:sz w:val="24"/>
          <w:szCs w:val="24"/>
          <w:rtl w:val="0"/>
        </w:rPr>
        <w:t xml:space="preserve">, these processes are commonly represented as invariant within stock assessments. We first briefly discuss how these processes can arise within fisheries, and then provide examples for the consequences of assuming invariant age, time, and cohort-dependent effects. Correlated age processes can arise when individuals of the same age-classes experience habitat conditions that result in consistent ontogenetic variation in demographic processes. Likewise, year processes can arise when individuals in a given year experience similar environmental conditions (e.g., marine heatwaves; </w:t>
      </w:r>
      <w:hyperlink r:id="rId13">
        <w:r w:rsidDel="00000000" w:rsidR="00000000" w:rsidRPr="00000000">
          <w:rPr>
            <w:rFonts w:ascii="Times New Roman" w:cs="Times New Roman" w:eastAsia="Times New Roman" w:hAnsi="Times New Roman"/>
            <w:sz w:val="24"/>
            <w:szCs w:val="24"/>
            <w:vertAlign w:val="baseline"/>
            <w:rtl w:val="0"/>
          </w:rPr>
          <w:t xml:space="preserve">Barbeaux </w:t>
        </w:r>
      </w:hyperlink>
      <w:hyperlink r:id="rId14">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15">
        <w:r w:rsidDel="00000000" w:rsidR="00000000" w:rsidRPr="00000000">
          <w:rPr>
            <w:rFonts w:ascii="Times New Roman" w:cs="Times New Roman" w:eastAsia="Times New Roman" w:hAnsi="Times New Roman"/>
            <w:sz w:val="24"/>
            <w:szCs w:val="24"/>
            <w:vertAlign w:val="baseline"/>
            <w:rtl w:val="0"/>
          </w:rPr>
          <w:t xml:space="preserve">, 2020)</w:t>
        </w:r>
      </w:hyperlink>
      <w:r w:rsidDel="00000000" w:rsidR="00000000" w:rsidRPr="00000000">
        <w:rPr>
          <w:rFonts w:ascii="Times New Roman" w:cs="Times New Roman" w:eastAsia="Times New Roman" w:hAnsi="Times New Roman"/>
          <w:sz w:val="24"/>
          <w:szCs w:val="24"/>
          <w:rtl w:val="0"/>
        </w:rPr>
        <w:t xml:space="preserve">, or when the fishery experiences changes in fishing practices </w:t>
      </w:r>
      <w:hyperlink r:id="rId16">
        <w:r w:rsidDel="00000000" w:rsidR="00000000" w:rsidRPr="00000000">
          <w:rPr>
            <w:rFonts w:ascii="Times New Roman" w:cs="Times New Roman" w:eastAsia="Times New Roman" w:hAnsi="Times New Roman"/>
            <w:sz w:val="24"/>
            <w:szCs w:val="24"/>
            <w:vertAlign w:val="baseline"/>
            <w:rtl w:val="0"/>
          </w:rPr>
          <w:t xml:space="preserve">(Martell and Stewart, 2014)</w:t>
        </w:r>
      </w:hyperlink>
      <w:r w:rsidDel="00000000" w:rsidR="00000000" w:rsidRPr="00000000">
        <w:rPr>
          <w:rFonts w:ascii="Times New Roman" w:cs="Times New Roman" w:eastAsia="Times New Roman" w:hAnsi="Times New Roman"/>
          <w:sz w:val="24"/>
          <w:szCs w:val="24"/>
          <w:rtl w:val="0"/>
        </w:rPr>
        <w:t xml:space="preserve">. Finally, cohort-specific effects can result from large recruitment events that alter targeting strategies from fishers and/or density dependence in growth </w:t>
      </w:r>
      <w:hyperlink r:id="rId17">
        <w:r w:rsidDel="00000000" w:rsidR="00000000" w:rsidRPr="00000000">
          <w:rPr>
            <w:rFonts w:ascii="Times New Roman" w:cs="Times New Roman" w:eastAsia="Times New Roman" w:hAnsi="Times New Roman"/>
            <w:sz w:val="24"/>
            <w:szCs w:val="24"/>
            <w:vertAlign w:val="baseline"/>
            <w:rtl w:val="0"/>
          </w:rPr>
          <w:t xml:space="preserve">(Rose </w:t>
        </w:r>
      </w:hyperlink>
      <w:hyperlink r:id="rId18">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19">
        <w:r w:rsidDel="00000000" w:rsidR="00000000" w:rsidRPr="00000000">
          <w:rPr>
            <w:rFonts w:ascii="Times New Roman" w:cs="Times New Roman" w:eastAsia="Times New Roman" w:hAnsi="Times New Roman"/>
            <w:sz w:val="24"/>
            <w:szCs w:val="24"/>
            <w:vertAlign w:val="baseline"/>
            <w:rtl w:val="0"/>
          </w:rPr>
          <w:t xml:space="preserve">, 2001; Goethel </w:t>
        </w:r>
      </w:hyperlink>
      <w:hyperlink r:id="rId20">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21">
        <w:r w:rsidDel="00000000" w:rsidR="00000000" w:rsidRPr="00000000">
          <w:rPr>
            <w:rFonts w:ascii="Times New Roman" w:cs="Times New Roman" w:eastAsia="Times New Roman" w:hAnsi="Times New Roman"/>
            <w:sz w:val="24"/>
            <w:szCs w:val="24"/>
            <w:vertAlign w:val="baseline"/>
            <w:rtl w:val="0"/>
          </w:rPr>
          <w:t xml:space="preserve">, 2021)</w:t>
        </w:r>
      </w:hyperlink>
      <w:r w:rsidDel="00000000" w:rsidR="00000000" w:rsidRPr="00000000">
        <w:rPr>
          <w:rFonts w:ascii="Times New Roman" w:cs="Times New Roman" w:eastAsia="Times New Roman" w:hAnsi="Times New Roman"/>
          <w:sz w:val="24"/>
          <w:szCs w:val="24"/>
          <w:rtl w:val="0"/>
        </w:rPr>
        <w:t xml:space="preserve">. However, as noted previously, these processes are often assumed to be invariant within stock assessments, despite evidence suggesting otherwise. Nonetheless, failing to appropriately account for these processes can result in biased estimates of model results and resulting harvest recommendations. For example, </w:t>
      </w:r>
      <w:hyperlink r:id="rId22">
        <w:r w:rsidDel="00000000" w:rsidR="00000000" w:rsidRPr="00000000">
          <w:rPr>
            <w:rFonts w:ascii="Times New Roman" w:cs="Times New Roman" w:eastAsia="Times New Roman" w:hAnsi="Times New Roman"/>
            <w:sz w:val="24"/>
            <w:szCs w:val="24"/>
            <w:vertAlign w:val="baseline"/>
            <w:rtl w:val="0"/>
          </w:rPr>
          <w:t xml:space="preserve">Taylor and Methot, (2013)</w:t>
        </w:r>
      </w:hyperlink>
      <w:r w:rsidDel="00000000" w:rsidR="00000000" w:rsidRPr="00000000">
        <w:rPr>
          <w:rFonts w:ascii="Times New Roman" w:cs="Times New Roman" w:eastAsia="Times New Roman" w:hAnsi="Times New Roman"/>
          <w:sz w:val="24"/>
          <w:szCs w:val="24"/>
          <w:rtl w:val="0"/>
        </w:rPr>
        <w:t xml:space="preserve"> found that disregarding individuals exhibiting differential growth trends resulted in biased estimates of spawning biomass and depletion. Similarly, failing to account for time-varying selectivity, and age-and-time varying natural mortality has been illustrated to result in biased estimates of quantities </w:t>
      </w:r>
      <w:hyperlink r:id="rId23">
        <w:r w:rsidDel="00000000" w:rsidR="00000000" w:rsidRPr="00000000">
          <w:rPr>
            <w:rFonts w:ascii="Times New Roman" w:cs="Times New Roman" w:eastAsia="Times New Roman" w:hAnsi="Times New Roman"/>
            <w:sz w:val="24"/>
            <w:szCs w:val="24"/>
            <w:vertAlign w:val="baseline"/>
            <w:rtl w:val="0"/>
          </w:rPr>
          <w:t xml:space="preserve">reference points, spawning biomass, recruitment </w:t>
        </w:r>
      </w:hyperlink>
      <w:hyperlink r:id="rId24">
        <w:r w:rsidDel="00000000" w:rsidR="00000000" w:rsidRPr="00000000">
          <w:rPr>
            <w:rFonts w:ascii="Times New Roman" w:cs="Times New Roman" w:eastAsia="Times New Roman" w:hAnsi="Times New Roman"/>
            <w:sz w:val="24"/>
            <w:szCs w:val="24"/>
            <w:rtl w:val="0"/>
          </w:rPr>
          <w:t xml:space="preserve">(</w:t>
        </w:r>
      </w:hyperlink>
      <w:hyperlink r:id="rId25">
        <w:r w:rsidDel="00000000" w:rsidR="00000000" w:rsidRPr="00000000">
          <w:rPr>
            <w:rFonts w:ascii="Times New Roman" w:cs="Times New Roman" w:eastAsia="Times New Roman" w:hAnsi="Times New Roman"/>
            <w:sz w:val="24"/>
            <w:szCs w:val="24"/>
            <w:vertAlign w:val="baseline"/>
            <w:rtl w:val="0"/>
          </w:rPr>
          <w:t xml:space="preserve">Deroba and Schueller, 2013; Martell and Stewart, 2014)</w:t>
        </w:r>
      </w:hyperlink>
      <w:r w:rsidDel="00000000" w:rsidR="00000000" w:rsidRPr="00000000">
        <w:rPr>
          <w:rFonts w:ascii="Times New Roman" w:cs="Times New Roman" w:eastAsia="Times New Roman" w:hAnsi="Times New Roman"/>
          <w:sz w:val="24"/>
          <w:szCs w:val="24"/>
          <w:rtl w:val="0"/>
        </w:rPr>
        <w:t xml:space="preserve">. Consequently, it is imperative for stock assessment models to be parameterized by realistic model structures that adequately represent the underlying stock and fishery dynamics.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Parameterizing model structures that are both rationally and biologically motivated is often a key challenge within stock assessment modeling. However, recent advances in computational tools have aided in such model parameterizations </w:t>
      </w:r>
      <w:hyperlink r:id="rId26">
        <w:r w:rsidDel="00000000" w:rsidR="00000000" w:rsidRPr="00000000">
          <w:rPr>
            <w:rFonts w:ascii="Times New Roman" w:cs="Times New Roman" w:eastAsia="Times New Roman" w:hAnsi="Times New Roman"/>
            <w:sz w:val="24"/>
            <w:szCs w:val="24"/>
            <w:vertAlign w:val="baseline"/>
            <w:rtl w:val="0"/>
          </w:rPr>
          <w:t xml:space="preserve">(Kristensen </w:t>
        </w:r>
      </w:hyperlink>
      <w:hyperlink r:id="rId27">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28">
        <w:r w:rsidDel="00000000" w:rsidR="00000000" w:rsidRPr="00000000">
          <w:rPr>
            <w:rFonts w:ascii="Times New Roman" w:cs="Times New Roman" w:eastAsia="Times New Roman" w:hAnsi="Times New Roman"/>
            <w:sz w:val="24"/>
            <w:szCs w:val="24"/>
            <w:vertAlign w:val="baseline"/>
            <w:rtl w:val="0"/>
          </w:rPr>
          <w:t xml:space="preserve">, 2016)</w:t>
        </w:r>
      </w:hyperlink>
      <w:r w:rsidDel="00000000" w:rsidR="00000000" w:rsidRPr="00000000">
        <w:rPr>
          <w:rFonts w:ascii="Times New Roman" w:cs="Times New Roman" w:eastAsia="Times New Roman" w:hAnsi="Times New Roman"/>
          <w:sz w:val="24"/>
          <w:szCs w:val="24"/>
          <w:rtl w:val="0"/>
        </w:rPr>
        <w:t xml:space="preserve">, allowing for the efficient computation of latent variables, which are well-suited to represent correlations in biological and fishery processes </w:t>
      </w:r>
      <w:hyperlink r:id="rId29">
        <w:r w:rsidDel="00000000" w:rsidR="00000000" w:rsidRPr="00000000">
          <w:rPr>
            <w:rFonts w:ascii="Times New Roman" w:cs="Times New Roman" w:eastAsia="Times New Roman" w:hAnsi="Times New Roman"/>
            <w:sz w:val="24"/>
            <w:szCs w:val="24"/>
            <w:vertAlign w:val="baseline"/>
            <w:rtl w:val="0"/>
          </w:rPr>
          <w:t xml:space="preserve">(Nielsen and Berg, 2014; Xu </w:t>
        </w:r>
      </w:hyperlink>
      <w:hyperlink r:id="rId30">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31">
        <w:r w:rsidDel="00000000" w:rsidR="00000000" w:rsidRPr="00000000">
          <w:rPr>
            <w:rFonts w:ascii="Times New Roman" w:cs="Times New Roman" w:eastAsia="Times New Roman" w:hAnsi="Times New Roman"/>
            <w:sz w:val="24"/>
            <w:szCs w:val="24"/>
            <w:vertAlign w:val="baseline"/>
            <w:rtl w:val="0"/>
          </w:rPr>
          <w:t xml:space="preserve">, 2019; Stock and Miller, 2021)</w:t>
        </w:r>
      </w:hyperlink>
      <w:r w:rsidDel="00000000" w:rsidR="00000000" w:rsidRPr="00000000">
        <w:rPr>
          <w:rFonts w:ascii="Times New Roman" w:cs="Times New Roman" w:eastAsia="Times New Roman" w:hAnsi="Times New Roman"/>
          <w:sz w:val="24"/>
          <w:szCs w:val="24"/>
          <w:rtl w:val="0"/>
        </w:rPr>
        <w:t xml:space="preserve">. However, methods are currently lacking that allow for the simultaneous estimation of correlated processes among ages, years, and cohorts. Thus, drawing from research on separable cohort models, we reintroduce the idea of “triple-separability”, which was initially applied to estimate age, time, and cohort-dependent processes in selectivity, to account for the increased vulnerability of more abundant cohorts (</w:t>
      </w:r>
      <w:r w:rsidDel="00000000" w:rsidR="00000000" w:rsidRPr="00000000">
        <w:rPr>
          <w:rFonts w:ascii="Times New Roman" w:cs="Times New Roman" w:eastAsia="Times New Roman" w:hAnsi="Times New Roman"/>
          <w:i w:val="1"/>
          <w:sz w:val="24"/>
          <w:szCs w:val="24"/>
          <w:rtl w:val="0"/>
        </w:rPr>
        <w:t xml:space="preserve">sensu </w:t>
      </w:r>
      <w:hyperlink r:id="rId32">
        <w:r w:rsidDel="00000000" w:rsidR="00000000" w:rsidRPr="00000000">
          <w:rPr>
            <w:rFonts w:ascii="Times New Roman" w:cs="Times New Roman" w:eastAsia="Times New Roman" w:hAnsi="Times New Roman"/>
            <w:sz w:val="24"/>
            <w:szCs w:val="24"/>
            <w:vertAlign w:val="baseline"/>
            <w:rtl w:val="0"/>
          </w:rPr>
          <w:t xml:space="preserve">Vasilyev, 2000)</w:t>
        </w:r>
      </w:hyperlink>
      <w:r w:rsidDel="00000000" w:rsidR="00000000" w:rsidRPr="00000000">
        <w:rPr>
          <w:rFonts w:ascii="Times New Roman" w:cs="Times New Roman" w:eastAsia="Times New Roman" w:hAnsi="Times New Roman"/>
          <w:sz w:val="24"/>
          <w:szCs w:val="24"/>
          <w:rtl w:val="0"/>
        </w:rPr>
        <w:t xml:space="preserve">. In the present study, we extend this work by estimating correlations among ages, years, and cohorts for weight-at-age represented as a Gaussian Markov Random Field (GMRF) using XXX as a case-study. Our method described is widely applicable, and can be extended to represent other biological and fishery parameters that are commonly estimated within integrated stock assessments. </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Methods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Results: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key differences between predicted WAA matrix with and without triple separability and AIC results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Discussion: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1) general results, and 2) how Wald tests and AIC can be used for model selection</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about the benefits of implementing triple-separability, and potential consequences of failing to account for such processes</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to the audience that this can be practical within contemporary stock assessments and can be implemented in growth, natural mortality, selectivity </w:t>
      </w:r>
      <w:r w:rsidDel="00000000" w:rsidR="00000000" w:rsidRPr="00000000">
        <w:rPr>
          <w:rFonts w:ascii="Times New Roman" w:cs="Times New Roman" w:eastAsia="Times New Roman" w:hAnsi="Times New Roman"/>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 survival, maturity (e.g., tell folks what the main use of this new method is).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limitations and caveats of this method?</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current literature (e.g., state-space models, GMRFs, 2DAR1 processes that are currently being implemented)</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discuss future research (e.g., simulation testing, real-world examples, and implement on other components of stock assessment)</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vertAlign w:val="baseline"/>
            <w:rtl w:val="0"/>
          </w:rPr>
          <w:t xml:space="preserve">Barbeaux, S. J., Holsman, K., and Zador, S. 2020. Marine Heatwave Stress Test of Ecosystem-Based Fisheries Management in the Gulf of Alaska Pacific Cod Fishery. Frontiers in Marine Science, 7: 703.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sz w:val="24"/>
            <w:szCs w:val="24"/>
            <w:vertAlign w:val="baseline"/>
            <w:rtl w:val="0"/>
          </w:rPr>
          <w:t xml:space="preserve">Deroba, J. J., and Schueller, A. M. 2013. Performance of stock assessments with misspecified age- and time-varying natural mortality. Fisheries Research, 146: 27–40.</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vertAlign w:val="baseline"/>
            <w:rtl w:val="0"/>
          </w:rPr>
          <w:t xml:space="preserve">Eigaard, O. R., Marchal, P., Gislason, H., and Rijnsdorp, A. D. 2014. Technological Development and Fisheries Management. Reviews in Fisheries Science &amp; Aquaculture, 22: 156–174.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z w:val="24"/>
            <w:szCs w:val="24"/>
            <w:vertAlign w:val="baseline"/>
            <w:rtl w:val="0"/>
          </w:rPr>
          <w:t xml:space="preserve">Goethel, D., Hanselman, D., Rodgveller, C., Echave, K. B., Williams, B., Shotwell, S. K., Sullivan, J., </w:t>
        </w:r>
      </w:hyperlink>
      <w:hyperlink r:id="rId37">
        <w:r w:rsidDel="00000000" w:rsidR="00000000" w:rsidRPr="00000000">
          <w:rPr>
            <w:rFonts w:ascii="Times New Roman" w:cs="Times New Roman" w:eastAsia="Times New Roman" w:hAnsi="Times New Roman"/>
            <w:i w:val="1"/>
            <w:sz w:val="24"/>
            <w:szCs w:val="24"/>
            <w:vertAlign w:val="baseline"/>
            <w:rtl w:val="0"/>
          </w:rPr>
          <w:t xml:space="preserve">et al.</w:t>
        </w:r>
      </w:hyperlink>
      <w:hyperlink r:id="rId38">
        <w:r w:rsidDel="00000000" w:rsidR="00000000" w:rsidRPr="00000000">
          <w:rPr>
            <w:rFonts w:ascii="Times New Roman" w:cs="Times New Roman" w:eastAsia="Times New Roman" w:hAnsi="Times New Roman"/>
            <w:sz w:val="24"/>
            <w:szCs w:val="24"/>
            <w:vertAlign w:val="baseline"/>
            <w:rtl w:val="0"/>
          </w:rPr>
          <w:t xml:space="preserve"> 2021. 3. Assessment of the Sablefish Stock in Alaska: 347.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z w:val="24"/>
            <w:szCs w:val="24"/>
            <w:vertAlign w:val="baseline"/>
            <w:rtl w:val="0"/>
          </w:rPr>
          <w:t xml:space="preserve">King, J. R., McFarlane, G. A., and Punt, A. E. 2015. Shifts in fisheries management: adapting to regime shifts. Philosophical Transactions of the Royal Society B: Biological Sciences, 370: 20130277.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z w:val="24"/>
            <w:szCs w:val="24"/>
            <w:vertAlign w:val="baseline"/>
            <w:rtl w:val="0"/>
          </w:rPr>
          <w:t xml:space="preserve">Kristensen, K., Nielsen, A., Berg, C. W., Skaug, H., and Bell, B. 2016. TMB: Automatic Differentiation and Laplace Approximation. Journal of Statistical Software, 70. http://arxiv.org/abs/1509.00660 (Accessed 8 January 2023).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sz w:val="24"/>
            <w:szCs w:val="24"/>
            <w:vertAlign w:val="baseline"/>
            <w:rtl w:val="0"/>
          </w:rPr>
          <w:t xml:space="preserve">Martell, S., and Stewart, I. 2014. Towards defining good practices for modeling time-varying selectivity. Fisheries Research, 158: 84–95.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sz w:val="24"/>
            <w:szCs w:val="24"/>
            <w:vertAlign w:val="baseline"/>
            <w:rtl w:val="0"/>
          </w:rPr>
          <w:t xml:space="preserve">Nielsen, A., and Berg, C. W. 2014. Estimation of time-varying selectivity in stock assessments using state-space models. Fisheries Research, 158: 96–101.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sz w:val="24"/>
            <w:szCs w:val="24"/>
            <w:vertAlign w:val="baseline"/>
            <w:rtl w:val="0"/>
          </w:rPr>
          <w:t xml:space="preserve">Rose, K. A., Cowan, J. H., Winemiller, K. O., Myers, R. A., and Hilborn, R. 2001. Compensatory density dependence in fish populations: importance, controversy, understanding and prognosis: Compensation in fish populations. Fish and Fisheries, 2: 293–327.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sz w:val="24"/>
            <w:szCs w:val="24"/>
            <w:vertAlign w:val="baseline"/>
            <w:rtl w:val="0"/>
          </w:rPr>
          <w:t xml:space="preserve">Sampson, D. B., and Scott, R. D. 2012. An exploration of the shapes and stability of population-selection curves: Shapes and stability of population-selection curves. Fish and Fisheries, 13: 89–104.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sz w:val="24"/>
            <w:szCs w:val="24"/>
            <w:vertAlign w:val="baseline"/>
            <w:rtl w:val="0"/>
          </w:rPr>
          <w:t xml:space="preserve">Stock, B. C., and Miller, T. J. 2021. The Woods Hole Assessment Model (WHAM): A general state-space assessment framework that incorporates time- and age-varying processes via random effects and links to environmental covariates. Fisheries Research, 240: 105967.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24"/>
            <w:szCs w:val="24"/>
            <w:vertAlign w:val="baseline"/>
            <w:rtl w:val="0"/>
          </w:rPr>
          <w:t xml:space="preserve">Taylor, I. G., and Methot, R. D. 2013. Hiding or dead? A computationally efficient model of selective fisheries mortality. Fisheries Research, 142: 75–85.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sz w:val="24"/>
            <w:szCs w:val="24"/>
            <w:vertAlign w:val="baseline"/>
            <w:rtl w:val="0"/>
          </w:rPr>
          <w:t xml:space="preserve">Thorson, J. T., and Minte-Vera, C. V. 2016. Relative magnitude of cohort, age, and year effects on size at age of exploited marine fishes. Fisheries Research, 180: 45–53.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z w:val="24"/>
            <w:szCs w:val="24"/>
            <w:vertAlign w:val="baseline"/>
            <w:rtl w:val="0"/>
          </w:rPr>
          <w:t xml:space="preserve">Vasilyev, D. A. 2000. TRIPLE-SEPARABLE VPA (TSVP.4) OR A STONE TO BRIDGE THE GAP BETWEEN SEPARABLE COHORT MODELS AND NONSEPARABLE ONES. ICES Conference and Meeting.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z w:val="24"/>
            <w:szCs w:val="24"/>
            <w:vertAlign w:val="baseline"/>
            <w:rtl w:val="0"/>
          </w:rPr>
          <w:t xml:space="preserve">Xu, H., Thorson, J. T., Methot, R. D., and Taylor, I. G. 2019. A new semi-parametric method for autocorrelated age- and time-varying selectivity in age-structured assessment models. Canadian Journal of Fisheries and Aquatic Sciences, 76: 268–285.</w:t>
        </w:r>
      </w:hyperlink>
      <w:r w:rsidDel="00000000" w:rsidR="00000000" w:rsidRPr="00000000">
        <w:rPr>
          <w:rtl w:val="0"/>
        </w:rPr>
      </w:r>
    </w:p>
    <w:sectPr>
      <w:headerReference r:id="rId50" w:type="default"/>
      <w:footerReference r:id="rId5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Cheng" w:id="2" w:date="2023-01-06T02:33:3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aim to have this encapsulate ~1.5 pars</w:t>
      </w:r>
    </w:p>
  </w:comment>
  <w:comment w:author="Matt Cheng" w:id="3" w:date="2023-01-09T01:26:09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intro on how stock assessments need to account for age, time, and cohort effects.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how these effects can arise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 Similar ages in similar habitats, resulting in similar growth conditions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 Differences in environmental Conditions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Cohort - Density dependence (Growth and Natural Mortality), selective targeting of cohorts.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when these effects aren't well represented in an assessment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statement of recent advancements, introduce triple-sep, and study goals</w:t>
      </w:r>
    </w:p>
  </w:comment>
  <w:comment w:author="Matt Cheng" w:id="6" w:date="2023-01-06T04:42:3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around 2 paragraphs here</w:t>
      </w:r>
    </w:p>
  </w:comment>
  <w:comment w:author="Matt Cheng" w:id="5" w:date="2023-01-06T04:42:5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paragraph here</w:t>
      </w:r>
    </w:p>
  </w:comment>
  <w:comment w:author="Matt Cheng" w:id="4" w:date="2023-01-06T04:43:46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2 paragraphs here</w:t>
      </w:r>
    </w:p>
  </w:comment>
  <w:comment w:author="Matt Cheng" w:id="0" w:date="2023-01-05T05:19:1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pages including figs, tables, and refs</w:t>
      </w:r>
    </w:p>
  </w:comment>
  <w:comment w:author="James Thorson" w:id="1" w:date="2023-01-05T17:01:2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paragraph for me is typically 250-400 words, so I think you've got more paragraphs outlined than space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Y6Z8n3" TargetMode="External"/><Relationship Id="rId42" Type="http://schemas.openxmlformats.org/officeDocument/2006/relationships/hyperlink" Target="https://www.zotero.org/google-docs/?Y6Z8n3" TargetMode="External"/><Relationship Id="rId41" Type="http://schemas.openxmlformats.org/officeDocument/2006/relationships/hyperlink" Target="https://www.zotero.org/google-docs/?Y6Z8n3" TargetMode="External"/><Relationship Id="rId44" Type="http://schemas.openxmlformats.org/officeDocument/2006/relationships/hyperlink" Target="https://www.zotero.org/google-docs/?Y6Z8n3" TargetMode="External"/><Relationship Id="rId43" Type="http://schemas.openxmlformats.org/officeDocument/2006/relationships/hyperlink" Target="https://www.zotero.org/google-docs/?Y6Z8n3" TargetMode="External"/><Relationship Id="rId46" Type="http://schemas.openxmlformats.org/officeDocument/2006/relationships/hyperlink" Target="https://www.zotero.org/google-docs/?Y6Z8n3" TargetMode="External"/><Relationship Id="rId45" Type="http://schemas.openxmlformats.org/officeDocument/2006/relationships/hyperlink" Target="https://www.zotero.org/google-docs/?Y6Z8n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U3GJX4" TargetMode="External"/><Relationship Id="rId48" Type="http://schemas.openxmlformats.org/officeDocument/2006/relationships/hyperlink" Target="https://www.zotero.org/google-docs/?Y6Z8n3" TargetMode="External"/><Relationship Id="rId47" Type="http://schemas.openxmlformats.org/officeDocument/2006/relationships/hyperlink" Target="https://www.zotero.org/google-docs/?Y6Z8n3" TargetMode="External"/><Relationship Id="rId49" Type="http://schemas.openxmlformats.org/officeDocument/2006/relationships/hyperlink" Target="https://www.zotero.org/google-docs/?Y6Z8n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U3GJX4" TargetMode="External"/><Relationship Id="rId8" Type="http://schemas.openxmlformats.org/officeDocument/2006/relationships/hyperlink" Target="https://www.zotero.org/google-docs/?U3GJX4" TargetMode="External"/><Relationship Id="rId31" Type="http://schemas.openxmlformats.org/officeDocument/2006/relationships/hyperlink" Target="https://www.zotero.org/google-docs/?fwiF5Q" TargetMode="External"/><Relationship Id="rId30" Type="http://schemas.openxmlformats.org/officeDocument/2006/relationships/hyperlink" Target="https://www.zotero.org/google-docs/?fwiF5Q" TargetMode="External"/><Relationship Id="rId33" Type="http://schemas.openxmlformats.org/officeDocument/2006/relationships/hyperlink" Target="https://www.zotero.org/google-docs/?Y6Z8n3" TargetMode="External"/><Relationship Id="rId32" Type="http://schemas.openxmlformats.org/officeDocument/2006/relationships/hyperlink" Target="https://www.zotero.org/google-docs/?UhaNTi" TargetMode="External"/><Relationship Id="rId35" Type="http://schemas.openxmlformats.org/officeDocument/2006/relationships/hyperlink" Target="https://www.zotero.org/google-docs/?Y6Z8n3" TargetMode="External"/><Relationship Id="rId34" Type="http://schemas.openxmlformats.org/officeDocument/2006/relationships/hyperlink" Target="https://www.zotero.org/google-docs/?Y6Z8n3" TargetMode="External"/><Relationship Id="rId37" Type="http://schemas.openxmlformats.org/officeDocument/2006/relationships/hyperlink" Target="https://www.zotero.org/google-docs/?Y6Z8n3" TargetMode="External"/><Relationship Id="rId36" Type="http://schemas.openxmlformats.org/officeDocument/2006/relationships/hyperlink" Target="https://www.zotero.org/google-docs/?Y6Z8n3" TargetMode="External"/><Relationship Id="rId39" Type="http://schemas.openxmlformats.org/officeDocument/2006/relationships/hyperlink" Target="https://www.zotero.org/google-docs/?Y6Z8n3" TargetMode="External"/><Relationship Id="rId38" Type="http://schemas.openxmlformats.org/officeDocument/2006/relationships/hyperlink" Target="https://www.zotero.org/google-docs/?Y6Z8n3" TargetMode="External"/><Relationship Id="rId20" Type="http://schemas.openxmlformats.org/officeDocument/2006/relationships/hyperlink" Target="https://www.zotero.org/google-docs/?b7ZJms" TargetMode="External"/><Relationship Id="rId22" Type="http://schemas.openxmlformats.org/officeDocument/2006/relationships/hyperlink" Target="https://www.zotero.org/google-docs/?1Wo37p" TargetMode="External"/><Relationship Id="rId21" Type="http://schemas.openxmlformats.org/officeDocument/2006/relationships/hyperlink" Target="https://www.zotero.org/google-docs/?b7ZJms" TargetMode="External"/><Relationship Id="rId24" Type="http://schemas.openxmlformats.org/officeDocument/2006/relationships/hyperlink" Target="https://www.zotero.org/google-docs/?jlEIGP" TargetMode="External"/><Relationship Id="rId23" Type="http://schemas.openxmlformats.org/officeDocument/2006/relationships/hyperlink" Target="https://www.zotero.org/google-docs/?jlEIGP" TargetMode="External"/><Relationship Id="rId26" Type="http://schemas.openxmlformats.org/officeDocument/2006/relationships/hyperlink" Target="https://www.zotero.org/google-docs/?pN934r" TargetMode="External"/><Relationship Id="rId25" Type="http://schemas.openxmlformats.org/officeDocument/2006/relationships/hyperlink" Target="https://www.zotero.org/google-docs/?jlEIGP" TargetMode="External"/><Relationship Id="rId28" Type="http://schemas.openxmlformats.org/officeDocument/2006/relationships/hyperlink" Target="https://www.zotero.org/google-docs/?pN934r" TargetMode="External"/><Relationship Id="rId27" Type="http://schemas.openxmlformats.org/officeDocument/2006/relationships/hyperlink" Target="https://www.zotero.org/google-docs/?pN934r" TargetMode="External"/><Relationship Id="rId29" Type="http://schemas.openxmlformats.org/officeDocument/2006/relationships/hyperlink" Target="https://www.zotero.org/google-docs/?fwiF5Q"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hyperlink" Target="https://www.zotero.org/google-docs/?U3GJX4" TargetMode="External"/><Relationship Id="rId10" Type="http://schemas.openxmlformats.org/officeDocument/2006/relationships/hyperlink" Target="https://www.zotero.org/google-docs/?U3GJX4" TargetMode="External"/><Relationship Id="rId13" Type="http://schemas.openxmlformats.org/officeDocument/2006/relationships/hyperlink" Target="https://www.zotero.org/google-docs/?UN74xd" TargetMode="External"/><Relationship Id="rId12" Type="http://schemas.openxmlformats.org/officeDocument/2006/relationships/hyperlink" Target="https://www.zotero.org/google-docs/?i5MiUJ" TargetMode="External"/><Relationship Id="rId15" Type="http://schemas.openxmlformats.org/officeDocument/2006/relationships/hyperlink" Target="https://www.zotero.org/google-docs/?UN74xd" TargetMode="External"/><Relationship Id="rId14" Type="http://schemas.openxmlformats.org/officeDocument/2006/relationships/hyperlink" Target="https://www.zotero.org/google-docs/?UN74xd" TargetMode="External"/><Relationship Id="rId17" Type="http://schemas.openxmlformats.org/officeDocument/2006/relationships/hyperlink" Target="https://www.zotero.org/google-docs/?b7ZJms" TargetMode="External"/><Relationship Id="rId16" Type="http://schemas.openxmlformats.org/officeDocument/2006/relationships/hyperlink" Target="https://www.zotero.org/google-docs/?3W3sbR" TargetMode="External"/><Relationship Id="rId19" Type="http://schemas.openxmlformats.org/officeDocument/2006/relationships/hyperlink" Target="https://www.zotero.org/google-docs/?b7ZJms" TargetMode="External"/><Relationship Id="rId18" Type="http://schemas.openxmlformats.org/officeDocument/2006/relationships/hyperlink" Target="https://www.zotero.org/google-docs/?b7ZJ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