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3766E" w14:textId="77777777" w:rsidR="00D722E3" w:rsidRDefault="00D722E3" w:rsidP="00D722E3">
      <w:pPr>
        <w:rPr>
          <w:rFonts w:ascii="Calibri" w:hAnsi="Calibri" w:cs="Calibri"/>
          <w:b/>
        </w:rPr>
      </w:pPr>
      <w:r w:rsidRPr="006B4718">
        <w:rPr>
          <w:rFonts w:ascii="Calibri" w:hAnsi="Calibri" w:cs="Calibri"/>
          <w:b/>
        </w:rPr>
        <w:t>1 | INTRODUCTION</w:t>
      </w:r>
    </w:p>
    <w:p w14:paraId="79D9A23B" w14:textId="2668936D" w:rsidR="00D722E3" w:rsidRDefault="00D722E3" w:rsidP="00D722E3">
      <w:pPr>
        <w:pStyle w:val="CommentText"/>
        <w:numPr>
          <w:ilvl w:val="0"/>
          <w:numId w:val="1"/>
        </w:numPr>
      </w:pPr>
      <w:r>
        <w:t>broadest intro to subsurface life in continents</w:t>
      </w:r>
    </w:p>
    <w:p w14:paraId="14EC89DA" w14:textId="43225D02" w:rsidR="00E15E35" w:rsidRDefault="00E15E35" w:rsidP="00E15E35">
      <w:pPr>
        <w:pStyle w:val="CommentText"/>
        <w:numPr>
          <w:ilvl w:val="1"/>
          <w:numId w:val="1"/>
        </w:numPr>
      </w:pPr>
      <w:r>
        <w:t>subsurface biosphere theoretically extends to depths where physicochemical limits of life exist (pressure, temperature</w:t>
      </w:r>
      <w:r w:rsidR="00551FA5">
        <w:t>, liquid water</w:t>
      </w:r>
      <w:r>
        <w:t>) and has been found as deep as 2.8km (</w:t>
      </w:r>
      <w:proofErr w:type="spellStart"/>
      <w:r>
        <w:t>Chivian</w:t>
      </w:r>
      <w:proofErr w:type="spellEnd"/>
      <w:r>
        <w:t xml:space="preserve"> 2008)</w:t>
      </w:r>
    </w:p>
    <w:p w14:paraId="1856E3CE" w14:textId="026F5A4F" w:rsidR="00551FA5" w:rsidRDefault="00551FA5" w:rsidP="00551FA5">
      <w:pPr>
        <w:pStyle w:val="CommentText"/>
        <w:numPr>
          <w:ilvl w:val="1"/>
          <w:numId w:val="1"/>
        </w:numPr>
      </w:pPr>
      <w:r>
        <w:t>challenges of deep subsurface metabolisms and physiologies, minerals as growth substrates in the subsurface</w:t>
      </w:r>
    </w:p>
    <w:p w14:paraId="29D0D28C" w14:textId="76069F94" w:rsidR="00E15E35" w:rsidRDefault="00E15E35" w:rsidP="00551FA5">
      <w:pPr>
        <w:pStyle w:val="CommentText"/>
        <w:numPr>
          <w:ilvl w:val="2"/>
          <w:numId w:val="1"/>
        </w:numPr>
      </w:pPr>
      <w:r>
        <w:t xml:space="preserve">description of subsurface conditions –no sunlight, limited organic carbon and oxygen, water-rock reactions generate chemical disequilibrium that provides dissolved electron donors and acceptors, host rock provides insoluble electron donors/acceptors </w:t>
      </w:r>
    </w:p>
    <w:p w14:paraId="7724F7A2" w14:textId="1B2DDAD1" w:rsidR="00E15E35" w:rsidRDefault="00E15E35" w:rsidP="00E15E35">
      <w:pPr>
        <w:pStyle w:val="CommentText"/>
        <w:numPr>
          <w:ilvl w:val="1"/>
          <w:numId w:val="1"/>
        </w:numPr>
      </w:pPr>
      <w:r>
        <w:t>places where subsurface life can live (aquifers, fracture fluids, fluids in pore spaces in rocks, on rock surfaces)</w:t>
      </w:r>
    </w:p>
    <w:p w14:paraId="4639DA92" w14:textId="4E8F9A83" w:rsidR="00E15E35" w:rsidRDefault="00D722E3" w:rsidP="00D722E3">
      <w:pPr>
        <w:pStyle w:val="CommentText"/>
        <w:numPr>
          <w:ilvl w:val="1"/>
          <w:numId w:val="1"/>
        </w:numPr>
      </w:pPr>
      <w:r>
        <w:t xml:space="preserve">continental subsurface </w:t>
      </w:r>
      <w:r w:rsidR="00E15E35">
        <w:t>hosts</w:t>
      </w:r>
      <w:r>
        <w:t xml:space="preserve"> large/diverse biosphere </w:t>
      </w:r>
    </w:p>
    <w:p w14:paraId="258073B0" w14:textId="1F80F17F" w:rsidR="00D722E3" w:rsidRDefault="00D722E3" w:rsidP="00E15E35">
      <w:pPr>
        <w:pStyle w:val="CommentText"/>
        <w:numPr>
          <w:ilvl w:val="2"/>
          <w:numId w:val="1"/>
        </w:numPr>
      </w:pPr>
      <w:r>
        <w:t xml:space="preserve">reference recent total continental subsurface biomass estimates including suspended + biofilm from </w:t>
      </w:r>
      <w:proofErr w:type="spellStart"/>
      <w:r>
        <w:t>Magnabasco</w:t>
      </w:r>
      <w:proofErr w:type="spellEnd"/>
      <w:r>
        <w:t xml:space="preserve"> and </w:t>
      </w:r>
      <w:proofErr w:type="spellStart"/>
      <w:r>
        <w:t>Flemming</w:t>
      </w:r>
      <w:proofErr w:type="spellEnd"/>
      <w:r>
        <w:t xml:space="preserve"> papers</w:t>
      </w:r>
    </w:p>
    <w:p w14:paraId="30BD59B3" w14:textId="70750DB8" w:rsidR="00E15E35" w:rsidRDefault="00E15E35" w:rsidP="00E15E35">
      <w:pPr>
        <w:pStyle w:val="CommentText"/>
        <w:numPr>
          <w:ilvl w:val="2"/>
          <w:numId w:val="1"/>
        </w:numPr>
      </w:pPr>
      <w:r>
        <w:t xml:space="preserve">reference genomic surveys from </w:t>
      </w:r>
      <w:r w:rsidR="00551FA5">
        <w:t xml:space="preserve">fluids from </w:t>
      </w:r>
      <w:r>
        <w:t xml:space="preserve">deep continental settings: </w:t>
      </w:r>
      <w:proofErr w:type="spellStart"/>
      <w:r>
        <w:t>Osburn</w:t>
      </w:r>
      <w:proofErr w:type="spellEnd"/>
      <w:r>
        <w:t xml:space="preserve"> 2014</w:t>
      </w:r>
      <w:r w:rsidR="00551FA5">
        <w:t xml:space="preserve"> (</w:t>
      </w:r>
      <w:proofErr w:type="spellStart"/>
      <w:r w:rsidR="00551FA5">
        <w:t>DeMMO</w:t>
      </w:r>
      <w:proofErr w:type="spellEnd"/>
      <w:r w:rsidR="00551FA5">
        <w:t>)</w:t>
      </w:r>
      <w:r>
        <w:t xml:space="preserve">, </w:t>
      </w:r>
      <w:proofErr w:type="spellStart"/>
      <w:r>
        <w:t>Woycheese</w:t>
      </w:r>
      <w:proofErr w:type="spellEnd"/>
      <w:r>
        <w:t xml:space="preserve"> 2015 (Philippines </w:t>
      </w:r>
      <w:proofErr w:type="spellStart"/>
      <w:r>
        <w:t>serp</w:t>
      </w:r>
      <w:proofErr w:type="spellEnd"/>
      <w:r>
        <w:t xml:space="preserve">), </w:t>
      </w:r>
      <w:proofErr w:type="spellStart"/>
      <w:r>
        <w:t>Twing</w:t>
      </w:r>
      <w:proofErr w:type="spellEnd"/>
      <w:r>
        <w:t xml:space="preserve"> 2017 (CROMO), Probst 2018</w:t>
      </w:r>
      <w:r w:rsidR="00551FA5">
        <w:t xml:space="preserve"> (Crystal Geyser), </w:t>
      </w:r>
      <w:proofErr w:type="spellStart"/>
      <w:r w:rsidR="00551FA5">
        <w:t>Magnabasco</w:t>
      </w:r>
      <w:proofErr w:type="spellEnd"/>
      <w:r w:rsidR="00551FA5">
        <w:t xml:space="preserve"> 2016 (SA gold mine)</w:t>
      </w:r>
    </w:p>
    <w:p w14:paraId="64FFFCD4" w14:textId="133B75F8" w:rsidR="00D722E3" w:rsidRDefault="00D722E3" w:rsidP="00D722E3">
      <w:pPr>
        <w:pStyle w:val="CommentText"/>
        <w:numPr>
          <w:ilvl w:val="0"/>
          <w:numId w:val="1"/>
        </w:numPr>
      </w:pPr>
      <w:r>
        <w:t>Previous studies</w:t>
      </w:r>
      <w:r w:rsidR="00EC5CC3">
        <w:t xml:space="preserve"> have investigated</w:t>
      </w:r>
      <w:r>
        <w:t xml:space="preserve"> deep continental biofilms </w:t>
      </w:r>
      <w:r w:rsidR="00EC5CC3">
        <w:t>using both laboratory based and in situ cultivation approaches</w:t>
      </w:r>
      <w:proofErr w:type="gramStart"/>
      <w:r w:rsidR="00EC5CC3">
        <w:t xml:space="preserve">. </w:t>
      </w:r>
      <w:proofErr w:type="gramEnd"/>
      <w:r w:rsidR="00EC5CC3">
        <w:t xml:space="preserve">These studies </w:t>
      </w:r>
      <w:r w:rsidR="00754737">
        <w:t xml:space="preserve">were among the first to </w:t>
      </w:r>
      <w:r w:rsidR="00EC5CC3">
        <w:t>shed light on the attached fraction of the deep biosphere</w:t>
      </w:r>
      <w:r w:rsidR="00754737">
        <w:t>, noting the potential for significant diversity and biomass in biofilm communities and their implications for astrobiology</w:t>
      </w:r>
      <w:r w:rsidR="006C1C3A">
        <w:t>:</w:t>
      </w:r>
    </w:p>
    <w:p w14:paraId="53773205" w14:textId="25CA8256" w:rsidR="00EC5CC3" w:rsidRPr="009C7954" w:rsidRDefault="00EC5CC3" w:rsidP="00EC5CC3">
      <w:pPr>
        <w:pStyle w:val="CommentText"/>
        <w:numPr>
          <w:ilvl w:val="1"/>
          <w:numId w:val="1"/>
        </w:numPr>
        <w:rPr>
          <w:b/>
        </w:rPr>
      </w:pPr>
      <w:r w:rsidRPr="009C7954">
        <w:rPr>
          <w:b/>
        </w:rPr>
        <w:t>Lab-based:</w:t>
      </w:r>
    </w:p>
    <w:p w14:paraId="64F6F189" w14:textId="198ECB03" w:rsidR="00EC5CC3" w:rsidRDefault="00EC5CC3" w:rsidP="00EC5CC3">
      <w:pPr>
        <w:pStyle w:val="CommentText"/>
        <w:numPr>
          <w:ilvl w:val="2"/>
          <w:numId w:val="1"/>
        </w:numPr>
      </w:pPr>
      <w:proofErr w:type="spellStart"/>
      <w:r w:rsidRPr="009C7954">
        <w:rPr>
          <w:b/>
        </w:rPr>
        <w:t>Keptra</w:t>
      </w:r>
      <w:proofErr w:type="spellEnd"/>
      <w:r w:rsidRPr="009C7954">
        <w:rPr>
          <w:b/>
        </w:rPr>
        <w:t xml:space="preserve"> 1998</w:t>
      </w:r>
      <w:r>
        <w:t xml:space="preserve"> - </w:t>
      </w:r>
      <w:r w:rsidRPr="004618FA">
        <w:t xml:space="preserve">Bacterial mineralization patterns in basaltic aquifers: Implications for possible life in </w:t>
      </w:r>
      <w:proofErr w:type="spellStart"/>
      <w:r w:rsidRPr="004618FA">
        <w:t>martian</w:t>
      </w:r>
      <w:proofErr w:type="spellEnd"/>
      <w:r w:rsidRPr="004618FA">
        <w:t xml:space="preserve"> meteorite ALH84001</w:t>
      </w:r>
    </w:p>
    <w:p w14:paraId="160EFDD8" w14:textId="6C31B91E" w:rsidR="002372DE" w:rsidRDefault="002372DE" w:rsidP="002372DE">
      <w:pPr>
        <w:pStyle w:val="CommentText"/>
        <w:numPr>
          <w:ilvl w:val="3"/>
          <w:numId w:val="1"/>
        </w:numPr>
      </w:pPr>
      <w:commentRangeStart w:id="0"/>
      <w:r>
        <w:t xml:space="preserve">Incubated rock chips collected from CRB and described </w:t>
      </w:r>
      <w:r w:rsidR="00137EB0">
        <w:t xml:space="preserve">formation and preservation of biofilm biogenic features, related CRB to subsurface of Mars </w:t>
      </w:r>
      <w:commentRangeEnd w:id="0"/>
      <w:r w:rsidR="00137EB0">
        <w:rPr>
          <w:rStyle w:val="CommentReference"/>
        </w:rPr>
        <w:commentReference w:id="0"/>
      </w:r>
    </w:p>
    <w:p w14:paraId="4B1725A4" w14:textId="69C21FB1" w:rsidR="00EC5CC3" w:rsidRPr="009C7954" w:rsidRDefault="00EC5CC3" w:rsidP="00EC5CC3">
      <w:pPr>
        <w:pStyle w:val="CommentText"/>
        <w:numPr>
          <w:ilvl w:val="1"/>
          <w:numId w:val="1"/>
        </w:numPr>
        <w:rPr>
          <w:b/>
        </w:rPr>
      </w:pPr>
      <w:r w:rsidRPr="009C7954">
        <w:rPr>
          <w:b/>
        </w:rPr>
        <w:t>In situ:</w:t>
      </w:r>
    </w:p>
    <w:p w14:paraId="68F01097" w14:textId="26151EE9" w:rsidR="00551FA5" w:rsidRDefault="00551FA5" w:rsidP="00EC5CC3">
      <w:pPr>
        <w:pStyle w:val="CommentText"/>
        <w:numPr>
          <w:ilvl w:val="2"/>
          <w:numId w:val="1"/>
        </w:numPr>
      </w:pPr>
      <w:r w:rsidRPr="009C7954">
        <w:rPr>
          <w:b/>
        </w:rPr>
        <w:t>Wanger 2006</w:t>
      </w:r>
      <w:r w:rsidRPr="004618FA">
        <w:t xml:space="preserve"> – SA gold mine biofilms </w:t>
      </w:r>
    </w:p>
    <w:p w14:paraId="2D094AA7" w14:textId="1151F709" w:rsidR="004E76A5" w:rsidRPr="004E76A5" w:rsidRDefault="004E76A5" w:rsidP="004E76A5">
      <w:pPr>
        <w:pStyle w:val="NormalWeb"/>
        <w:numPr>
          <w:ilvl w:val="3"/>
          <w:numId w:val="1"/>
        </w:numPr>
        <w:rPr>
          <w:sz w:val="20"/>
          <w:szCs w:val="20"/>
        </w:rPr>
      </w:pPr>
      <w:r>
        <w:rPr>
          <w:sz w:val="20"/>
          <w:szCs w:val="20"/>
        </w:rPr>
        <w:t>Recognized that m</w:t>
      </w:r>
      <w:proofErr w:type="spellStart"/>
      <w:r w:rsidRPr="004E76A5">
        <w:rPr>
          <w:sz w:val="20"/>
          <w:szCs w:val="20"/>
        </w:rPr>
        <w:t>icrobial</w:t>
      </w:r>
      <w:proofErr w:type="spellEnd"/>
      <w:r w:rsidRPr="004E76A5">
        <w:rPr>
          <w:sz w:val="20"/>
          <w:szCs w:val="20"/>
        </w:rPr>
        <w:t xml:space="preserve"> studies of deep subsurface environments have relied primarily upon planktonic communities carried by the fluids either pumped to the surface or released from fractures during subsurface drilling</w:t>
      </w:r>
      <w:r>
        <w:rPr>
          <w:sz w:val="20"/>
          <w:szCs w:val="20"/>
        </w:rPr>
        <w:t>, lack of studies on attached biosphere</w:t>
      </w:r>
    </w:p>
    <w:p w14:paraId="134F9355" w14:textId="107EBBC3" w:rsidR="006C1C3A" w:rsidRPr="004E76A5" w:rsidRDefault="006C1C3A" w:rsidP="006C1C3A">
      <w:pPr>
        <w:pStyle w:val="NormalWeb"/>
        <w:numPr>
          <w:ilvl w:val="3"/>
          <w:numId w:val="1"/>
        </w:numPr>
        <w:rPr>
          <w:sz w:val="20"/>
          <w:szCs w:val="20"/>
        </w:rPr>
      </w:pPr>
      <w:r w:rsidRPr="006C1C3A">
        <w:rPr>
          <w:bCs/>
          <w:sz w:val="20"/>
          <w:szCs w:val="20"/>
        </w:rPr>
        <w:t>provided the first direct observation of the sessile population from the terrestrial deep subsurface</w:t>
      </w:r>
    </w:p>
    <w:p w14:paraId="68F5D0C0" w14:textId="35F91F3C" w:rsidR="004E76A5" w:rsidRPr="00F17BC6" w:rsidRDefault="004E76A5" w:rsidP="006C1C3A">
      <w:pPr>
        <w:pStyle w:val="NormalWeb"/>
        <w:numPr>
          <w:ilvl w:val="3"/>
          <w:numId w:val="1"/>
        </w:numPr>
        <w:rPr>
          <w:sz w:val="20"/>
          <w:szCs w:val="20"/>
        </w:rPr>
      </w:pPr>
      <w:r>
        <w:rPr>
          <w:bCs/>
          <w:sz w:val="20"/>
          <w:szCs w:val="20"/>
        </w:rPr>
        <w:t xml:space="preserve">they collected rocks from a water-bearing fracture surface (no in situ cultivation) and imaged with SEM – shows cell morphologies and EPS structures </w:t>
      </w:r>
    </w:p>
    <w:p w14:paraId="313005A8" w14:textId="2FD3D06B" w:rsidR="00F17BC6" w:rsidRPr="00F17BC6" w:rsidRDefault="00F17BC6" w:rsidP="006C1C3A">
      <w:pPr>
        <w:pStyle w:val="NormalWeb"/>
        <w:numPr>
          <w:ilvl w:val="3"/>
          <w:numId w:val="1"/>
        </w:numPr>
        <w:rPr>
          <w:sz w:val="20"/>
          <w:szCs w:val="20"/>
        </w:rPr>
      </w:pPr>
      <w:r>
        <w:rPr>
          <w:bCs/>
          <w:sz w:val="20"/>
          <w:szCs w:val="20"/>
        </w:rPr>
        <w:t xml:space="preserve">mention </w:t>
      </w:r>
      <w:proofErr w:type="spellStart"/>
      <w:r>
        <w:rPr>
          <w:bCs/>
          <w:sz w:val="20"/>
          <w:szCs w:val="20"/>
        </w:rPr>
        <w:t>possible</w:t>
      </w:r>
      <w:proofErr w:type="spellEnd"/>
      <w:r>
        <w:rPr>
          <w:bCs/>
          <w:sz w:val="20"/>
          <w:szCs w:val="20"/>
        </w:rPr>
        <w:t xml:space="preserve"> timescales for biofilm development</w:t>
      </w:r>
    </w:p>
    <w:p w14:paraId="6BEF5CD4" w14:textId="1BC025BE" w:rsidR="00F17BC6" w:rsidRPr="00F17BC6" w:rsidRDefault="00F17BC6" w:rsidP="006C1C3A">
      <w:pPr>
        <w:pStyle w:val="NormalWeb"/>
        <w:numPr>
          <w:ilvl w:val="3"/>
          <w:numId w:val="1"/>
        </w:numPr>
        <w:rPr>
          <w:sz w:val="20"/>
          <w:szCs w:val="20"/>
        </w:rPr>
      </w:pPr>
      <w:r>
        <w:rPr>
          <w:bCs/>
          <w:sz w:val="20"/>
          <w:szCs w:val="20"/>
        </w:rPr>
        <w:t>suggest importance of Ca+/Mg+ ions for biofilm development (salt bridging, adsorption to surfaces)</w:t>
      </w:r>
    </w:p>
    <w:p w14:paraId="3574A405" w14:textId="0A11DB57" w:rsidR="00F17BC6" w:rsidRPr="00F17BC6" w:rsidRDefault="00F17BC6" w:rsidP="006C1C3A">
      <w:pPr>
        <w:pStyle w:val="NormalWeb"/>
        <w:numPr>
          <w:ilvl w:val="3"/>
          <w:numId w:val="1"/>
        </w:numPr>
        <w:rPr>
          <w:sz w:val="20"/>
          <w:szCs w:val="20"/>
        </w:rPr>
      </w:pPr>
      <w:r>
        <w:rPr>
          <w:bCs/>
          <w:sz w:val="20"/>
          <w:szCs w:val="20"/>
        </w:rPr>
        <w:t xml:space="preserve">they approximated biofilm cell densities and compare to cartridge experiments from Moser 2003, argue that cartridge experiments aren’t representative of system </w:t>
      </w:r>
      <w:proofErr w:type="spellStart"/>
      <w:r>
        <w:rPr>
          <w:bCs/>
          <w:sz w:val="20"/>
          <w:szCs w:val="20"/>
        </w:rPr>
        <w:t>bc</w:t>
      </w:r>
      <w:proofErr w:type="spellEnd"/>
      <w:r>
        <w:rPr>
          <w:bCs/>
          <w:sz w:val="20"/>
          <w:szCs w:val="20"/>
        </w:rPr>
        <w:t xml:space="preserve"> they resulted in much higher biomass than what was observed on </w:t>
      </w:r>
      <w:commentRangeStart w:id="1"/>
      <w:r>
        <w:rPr>
          <w:bCs/>
          <w:sz w:val="20"/>
          <w:szCs w:val="20"/>
        </w:rPr>
        <w:t xml:space="preserve">fracture rock samples </w:t>
      </w:r>
    </w:p>
    <w:p w14:paraId="6A185140" w14:textId="1DC5ED27" w:rsidR="00F17BC6" w:rsidRPr="00F17BC6" w:rsidRDefault="00F17BC6" w:rsidP="00F17BC6">
      <w:pPr>
        <w:pStyle w:val="NormalWeb"/>
        <w:numPr>
          <w:ilvl w:val="4"/>
          <w:numId w:val="1"/>
        </w:numPr>
        <w:rPr>
          <w:sz w:val="20"/>
          <w:szCs w:val="20"/>
        </w:rPr>
      </w:pPr>
      <w:r>
        <w:rPr>
          <w:bCs/>
          <w:sz w:val="20"/>
          <w:szCs w:val="20"/>
        </w:rPr>
        <w:t>they suggest this is possibly due to the initial exposure of the fracture fluids to oxygen when the experiment is installed, which c</w:t>
      </w:r>
      <w:r w:rsidR="00E91E6A">
        <w:rPr>
          <w:bCs/>
          <w:sz w:val="20"/>
          <w:szCs w:val="20"/>
        </w:rPr>
        <w:t xml:space="preserve">ould have </w:t>
      </w:r>
      <w:r>
        <w:rPr>
          <w:bCs/>
          <w:sz w:val="20"/>
          <w:szCs w:val="20"/>
        </w:rPr>
        <w:t>coat</w:t>
      </w:r>
      <w:r w:rsidR="00E91E6A">
        <w:rPr>
          <w:bCs/>
          <w:sz w:val="20"/>
          <w:szCs w:val="20"/>
        </w:rPr>
        <w:t>ed</w:t>
      </w:r>
      <w:r>
        <w:rPr>
          <w:bCs/>
          <w:sz w:val="20"/>
          <w:szCs w:val="20"/>
        </w:rPr>
        <w:t xml:space="preserve"> the experiment materials in atomic scale oxides, and these are what the cells are interfacing with rather than the actual rock surface </w:t>
      </w:r>
      <w:commentRangeEnd w:id="1"/>
      <w:r w:rsidR="00CF12FF">
        <w:rPr>
          <w:rStyle w:val="CommentReference"/>
        </w:rPr>
        <w:commentReference w:id="1"/>
      </w:r>
    </w:p>
    <w:p w14:paraId="1E8B57B9" w14:textId="4CEB442D" w:rsidR="00F17BC6" w:rsidRPr="009C7954" w:rsidRDefault="00CF12FF" w:rsidP="00F17BC6">
      <w:pPr>
        <w:pStyle w:val="NormalWeb"/>
        <w:numPr>
          <w:ilvl w:val="3"/>
          <w:numId w:val="1"/>
        </w:numPr>
        <w:rPr>
          <w:sz w:val="20"/>
          <w:szCs w:val="20"/>
        </w:rPr>
      </w:pPr>
      <w:r>
        <w:rPr>
          <w:bCs/>
          <w:sz w:val="20"/>
          <w:szCs w:val="20"/>
        </w:rPr>
        <w:t xml:space="preserve"> </w:t>
      </w:r>
      <w:r w:rsidR="00F17BC6">
        <w:rPr>
          <w:bCs/>
          <w:sz w:val="20"/>
          <w:szCs w:val="20"/>
        </w:rPr>
        <w:t xml:space="preserve">“surfaces enhance bacterial growth” – their estimates of attached vs suspended </w:t>
      </w:r>
      <w:r w:rsidR="00F17BC6" w:rsidRPr="009C7954">
        <w:rPr>
          <w:bCs/>
          <w:sz w:val="20"/>
          <w:szCs w:val="20"/>
        </w:rPr>
        <w:t xml:space="preserve">biomass resulted in higher proportion of attached </w:t>
      </w:r>
    </w:p>
    <w:p w14:paraId="225A6864" w14:textId="7467B4EA" w:rsidR="009C7954" w:rsidRPr="00CF12FF" w:rsidRDefault="009C7954" w:rsidP="009C7954">
      <w:pPr>
        <w:pStyle w:val="NormalWeb"/>
        <w:numPr>
          <w:ilvl w:val="2"/>
          <w:numId w:val="1"/>
        </w:numPr>
        <w:rPr>
          <w:sz w:val="20"/>
          <w:szCs w:val="20"/>
        </w:rPr>
      </w:pPr>
      <w:commentRangeStart w:id="2"/>
      <w:r w:rsidRPr="009C7954">
        <w:rPr>
          <w:b/>
          <w:bCs/>
          <w:sz w:val="20"/>
          <w:szCs w:val="20"/>
        </w:rPr>
        <w:t>Moser 2003</w:t>
      </w:r>
      <w:r w:rsidRPr="009C7954">
        <w:rPr>
          <w:bCs/>
          <w:sz w:val="20"/>
          <w:szCs w:val="20"/>
        </w:rPr>
        <w:t xml:space="preserve"> (SA gold mine) - </w:t>
      </w:r>
      <w:r w:rsidRPr="009C7954">
        <w:rPr>
          <w:bCs/>
          <w:sz w:val="20"/>
          <w:szCs w:val="20"/>
        </w:rPr>
        <w:t xml:space="preserve">Temporal Shifts in the Geochemistry and Microbial Community Structure of an Ultradeep Mine Borehole Following Isolation </w:t>
      </w:r>
      <w:commentRangeEnd w:id="2"/>
      <w:r w:rsidR="00CF12FF">
        <w:rPr>
          <w:rStyle w:val="CommentReference"/>
        </w:rPr>
        <w:commentReference w:id="2"/>
      </w:r>
    </w:p>
    <w:p w14:paraId="49946B8B" w14:textId="3D2C1894" w:rsidR="00CF12FF" w:rsidRDefault="00CF12FF" w:rsidP="00CF12FF">
      <w:pPr>
        <w:pStyle w:val="NormalWeb"/>
        <w:numPr>
          <w:ilvl w:val="3"/>
          <w:numId w:val="1"/>
        </w:numPr>
        <w:rPr>
          <w:sz w:val="20"/>
          <w:szCs w:val="20"/>
        </w:rPr>
      </w:pPr>
      <w:commentRangeStart w:id="3"/>
      <w:r w:rsidRPr="00CF12FF">
        <w:rPr>
          <w:bCs/>
          <w:sz w:val="20"/>
          <w:szCs w:val="20"/>
        </w:rPr>
        <w:t>Used</w:t>
      </w:r>
      <w:r>
        <w:rPr>
          <w:bCs/>
          <w:sz w:val="20"/>
          <w:szCs w:val="20"/>
        </w:rPr>
        <w:t xml:space="preserve"> cartridge experiment to characterize biofilm community from fluid-filled fracture using </w:t>
      </w:r>
      <w:r>
        <w:rPr>
          <w:sz w:val="20"/>
          <w:szCs w:val="20"/>
        </w:rPr>
        <w:t xml:space="preserve">PLFA, 16s DNA, stable isotopes, fluid chemistry, SEM, </w:t>
      </w:r>
      <w:proofErr w:type="spellStart"/>
      <w:r>
        <w:rPr>
          <w:sz w:val="20"/>
          <w:szCs w:val="20"/>
        </w:rPr>
        <w:t>thermo</w:t>
      </w:r>
      <w:proofErr w:type="spellEnd"/>
      <w:r>
        <w:rPr>
          <w:sz w:val="20"/>
          <w:szCs w:val="20"/>
        </w:rPr>
        <w:t xml:space="preserve"> modelling</w:t>
      </w:r>
      <w:r>
        <w:rPr>
          <w:sz w:val="20"/>
          <w:szCs w:val="20"/>
        </w:rPr>
        <w:t xml:space="preserve"> </w:t>
      </w:r>
      <w:commentRangeEnd w:id="3"/>
      <w:r>
        <w:rPr>
          <w:rStyle w:val="CommentReference"/>
        </w:rPr>
        <w:commentReference w:id="3"/>
      </w:r>
    </w:p>
    <w:p w14:paraId="5FB7C60C" w14:textId="0930802B" w:rsidR="00CF12FF" w:rsidRDefault="00CF12FF" w:rsidP="00CF12FF">
      <w:pPr>
        <w:pStyle w:val="NormalWeb"/>
        <w:numPr>
          <w:ilvl w:val="3"/>
          <w:numId w:val="1"/>
        </w:numPr>
        <w:rPr>
          <w:sz w:val="20"/>
          <w:szCs w:val="20"/>
        </w:rPr>
      </w:pPr>
      <w:r>
        <w:rPr>
          <w:sz w:val="20"/>
          <w:szCs w:val="20"/>
        </w:rPr>
        <w:t xml:space="preserve">They compared suspended to attached community composition and </w:t>
      </w:r>
      <w:r w:rsidR="00AC6F33">
        <w:rPr>
          <w:sz w:val="20"/>
          <w:szCs w:val="20"/>
        </w:rPr>
        <w:t xml:space="preserve">interpreted possible metabolisms </w:t>
      </w:r>
    </w:p>
    <w:p w14:paraId="24B1A147" w14:textId="4B0EA264" w:rsidR="00AC6F33" w:rsidRPr="00CF12FF" w:rsidRDefault="00AC6F33" w:rsidP="00CF12FF">
      <w:pPr>
        <w:pStyle w:val="NormalWeb"/>
        <w:numPr>
          <w:ilvl w:val="3"/>
          <w:numId w:val="1"/>
        </w:numPr>
        <w:rPr>
          <w:sz w:val="20"/>
          <w:szCs w:val="20"/>
        </w:rPr>
      </w:pPr>
      <w:r>
        <w:rPr>
          <w:sz w:val="20"/>
          <w:szCs w:val="20"/>
        </w:rPr>
        <w:lastRenderedPageBreak/>
        <w:t xml:space="preserve">They recognize the presence of a distinct </w:t>
      </w:r>
      <w:r w:rsidR="0053228E">
        <w:rPr>
          <w:sz w:val="20"/>
          <w:szCs w:val="20"/>
        </w:rPr>
        <w:t xml:space="preserve">continental </w:t>
      </w:r>
      <w:r>
        <w:rPr>
          <w:sz w:val="20"/>
          <w:szCs w:val="20"/>
        </w:rPr>
        <w:t>deep subsurface biosphere that deserved attention</w:t>
      </w:r>
    </w:p>
    <w:p w14:paraId="019E0914" w14:textId="5ADC2227" w:rsidR="00551FA5" w:rsidRDefault="00CC2879" w:rsidP="00CC2879">
      <w:pPr>
        <w:pStyle w:val="ListParagraph"/>
        <w:numPr>
          <w:ilvl w:val="2"/>
          <w:numId w:val="1"/>
        </w:numPr>
        <w:rPr>
          <w:sz w:val="20"/>
          <w:szCs w:val="20"/>
        </w:rPr>
      </w:pPr>
      <w:proofErr w:type="spellStart"/>
      <w:r w:rsidRPr="00CC2879">
        <w:rPr>
          <w:b/>
          <w:sz w:val="20"/>
          <w:szCs w:val="20"/>
        </w:rPr>
        <w:t>Henneberger</w:t>
      </w:r>
      <w:proofErr w:type="spellEnd"/>
      <w:r w:rsidRPr="00CC2879">
        <w:rPr>
          <w:b/>
          <w:sz w:val="20"/>
          <w:szCs w:val="20"/>
        </w:rPr>
        <w:t xml:space="preserve"> 2006</w:t>
      </w:r>
      <w:r w:rsidR="00551FA5" w:rsidRPr="00CC2879">
        <w:rPr>
          <w:b/>
          <w:sz w:val="20"/>
          <w:szCs w:val="20"/>
        </w:rPr>
        <w:t xml:space="preserve"> </w:t>
      </w:r>
      <w:r w:rsidR="004618FA" w:rsidRPr="00CC2879">
        <w:rPr>
          <w:sz w:val="20"/>
          <w:szCs w:val="20"/>
        </w:rPr>
        <w:t>(</w:t>
      </w:r>
      <w:r w:rsidR="00062802">
        <w:rPr>
          <w:sz w:val="20"/>
          <w:szCs w:val="20"/>
        </w:rPr>
        <w:t>Germany</w:t>
      </w:r>
      <w:r w:rsidR="004618FA" w:rsidRPr="00CC2879">
        <w:rPr>
          <w:sz w:val="20"/>
          <w:szCs w:val="20"/>
        </w:rPr>
        <w:t>)</w:t>
      </w:r>
      <w:r w:rsidR="00551FA5" w:rsidRPr="00CC2879">
        <w:rPr>
          <w:sz w:val="20"/>
          <w:szCs w:val="20"/>
        </w:rPr>
        <w:t xml:space="preserve">- </w:t>
      </w:r>
      <w:r w:rsidRPr="00CC2879">
        <w:rPr>
          <w:sz w:val="20"/>
          <w:szCs w:val="20"/>
        </w:rPr>
        <w:t xml:space="preserve">New Insights into the Lifestyle of the Cold-Loving SM1 Euryarchaeon: Natural Growth as a </w:t>
      </w:r>
      <w:proofErr w:type="spellStart"/>
      <w:r w:rsidRPr="00CC2879">
        <w:rPr>
          <w:sz w:val="20"/>
          <w:szCs w:val="20"/>
        </w:rPr>
        <w:t>Monospecies</w:t>
      </w:r>
      <w:proofErr w:type="spellEnd"/>
      <w:r w:rsidRPr="00CC2879">
        <w:rPr>
          <w:sz w:val="20"/>
          <w:szCs w:val="20"/>
        </w:rPr>
        <w:t xml:space="preserve"> Biofilm in the Subsurface</w:t>
      </w:r>
    </w:p>
    <w:p w14:paraId="02DE12AD" w14:textId="4A1722A3" w:rsidR="00CC2879" w:rsidRDefault="00062802" w:rsidP="00CC2879">
      <w:pPr>
        <w:pStyle w:val="ListParagraph"/>
        <w:numPr>
          <w:ilvl w:val="3"/>
          <w:numId w:val="1"/>
        </w:numPr>
        <w:rPr>
          <w:sz w:val="20"/>
          <w:szCs w:val="20"/>
        </w:rPr>
      </w:pPr>
      <w:r w:rsidRPr="00062802">
        <w:rPr>
          <w:sz w:val="20"/>
          <w:szCs w:val="20"/>
        </w:rPr>
        <w:t xml:space="preserve">Used in situ cultivation </w:t>
      </w:r>
      <w:r>
        <w:rPr>
          <w:sz w:val="20"/>
          <w:szCs w:val="20"/>
        </w:rPr>
        <w:t xml:space="preserve">– polyethylene nets – to cultivate biofilms from sulfidic spring waters emanating from </w:t>
      </w:r>
      <w:proofErr w:type="spellStart"/>
      <w:r>
        <w:rPr>
          <w:sz w:val="20"/>
          <w:szCs w:val="20"/>
        </w:rPr>
        <w:t>drillhole</w:t>
      </w:r>
      <w:proofErr w:type="spellEnd"/>
      <w:r>
        <w:rPr>
          <w:sz w:val="20"/>
          <w:szCs w:val="20"/>
        </w:rPr>
        <w:t xml:space="preserve"> into subsurface (to unknown depth) – their experiment was at 75cm depth</w:t>
      </w:r>
    </w:p>
    <w:p w14:paraId="74989357" w14:textId="644D732C" w:rsidR="00062802" w:rsidRPr="00062802" w:rsidRDefault="00062802" w:rsidP="00CC2879">
      <w:pPr>
        <w:pStyle w:val="ListParagraph"/>
        <w:numPr>
          <w:ilvl w:val="3"/>
          <w:numId w:val="1"/>
        </w:numPr>
        <w:rPr>
          <w:sz w:val="20"/>
          <w:szCs w:val="20"/>
        </w:rPr>
      </w:pPr>
      <w:r>
        <w:rPr>
          <w:sz w:val="20"/>
          <w:szCs w:val="20"/>
        </w:rPr>
        <w:t xml:space="preserve">Discovered a </w:t>
      </w:r>
      <w:proofErr w:type="gramStart"/>
      <w:r>
        <w:rPr>
          <w:sz w:val="20"/>
          <w:szCs w:val="20"/>
        </w:rPr>
        <w:t>novel archaea</w:t>
      </w:r>
      <w:proofErr w:type="gramEnd"/>
      <w:r>
        <w:rPr>
          <w:sz w:val="20"/>
          <w:szCs w:val="20"/>
        </w:rPr>
        <w:t xml:space="preserve"> that formed unique string-of-pearls biofilm in monophyletic community – this organism was later detected via metagenomic survey in Crystal Geyser system in Utah (Probst 2014). Probst 2014 dubbed the organism “</w:t>
      </w:r>
      <w:proofErr w:type="spellStart"/>
      <w:r>
        <w:rPr>
          <w:sz w:val="20"/>
          <w:szCs w:val="20"/>
        </w:rPr>
        <w:t>Altiarchaeales</w:t>
      </w:r>
      <w:proofErr w:type="spellEnd"/>
      <w:r>
        <w:rPr>
          <w:sz w:val="20"/>
          <w:szCs w:val="20"/>
        </w:rPr>
        <w:t xml:space="preserve">”, describing the widespread nature of this subsurface biofilm-forming archaeon. It is autotrophic, important for C cycle in deep biosphere. Also forms ‘grappling hook’ structures, important for cell attachment to surfaces. </w:t>
      </w:r>
    </w:p>
    <w:p w14:paraId="79C8D5CD" w14:textId="6DEC49B5" w:rsidR="004618FA" w:rsidRDefault="004618FA" w:rsidP="00EC5CC3">
      <w:pPr>
        <w:pStyle w:val="ListParagraph"/>
        <w:numPr>
          <w:ilvl w:val="2"/>
          <w:numId w:val="1"/>
        </w:numPr>
        <w:rPr>
          <w:sz w:val="20"/>
          <w:szCs w:val="20"/>
        </w:rPr>
      </w:pPr>
      <w:r w:rsidRPr="009C7954">
        <w:rPr>
          <w:b/>
          <w:sz w:val="20"/>
          <w:szCs w:val="20"/>
        </w:rPr>
        <w:t>Baker 2003</w:t>
      </w:r>
      <w:r>
        <w:rPr>
          <w:sz w:val="20"/>
          <w:szCs w:val="20"/>
        </w:rPr>
        <w:t xml:space="preserve"> - </w:t>
      </w:r>
      <w:r w:rsidRPr="004618FA">
        <w:rPr>
          <w:sz w:val="20"/>
          <w:szCs w:val="20"/>
        </w:rPr>
        <w:t xml:space="preserve">Related assemblages of </w:t>
      </w:r>
      <w:proofErr w:type="spellStart"/>
      <w:r w:rsidRPr="004618FA">
        <w:rPr>
          <w:sz w:val="20"/>
          <w:szCs w:val="20"/>
        </w:rPr>
        <w:t>sulphate</w:t>
      </w:r>
      <w:proofErr w:type="spellEnd"/>
      <w:r w:rsidRPr="004618FA">
        <w:rPr>
          <w:sz w:val="20"/>
          <w:szCs w:val="20"/>
        </w:rPr>
        <w:t>-reducing bacteria associated with ultradeep gold mines of South Africa and deep basalt aquifers of Washington State</w:t>
      </w:r>
    </w:p>
    <w:p w14:paraId="1CD497FF" w14:textId="4C953B15" w:rsidR="002372DE" w:rsidRPr="00EC5CC3" w:rsidRDefault="002372DE" w:rsidP="002372DE">
      <w:pPr>
        <w:pStyle w:val="ListParagraph"/>
        <w:numPr>
          <w:ilvl w:val="3"/>
          <w:numId w:val="1"/>
        </w:numPr>
        <w:rPr>
          <w:sz w:val="20"/>
          <w:szCs w:val="20"/>
        </w:rPr>
      </w:pPr>
      <w:r>
        <w:rPr>
          <w:sz w:val="20"/>
          <w:szCs w:val="20"/>
        </w:rPr>
        <w:t xml:space="preserve">Compared sulfate reducers between CRB aquifer and SA gold mine fractures and found to be closely related, suggested widespread nature of deep subsurface sulfate reducers </w:t>
      </w:r>
    </w:p>
    <w:p w14:paraId="68390138" w14:textId="65EE5140" w:rsidR="00D722E3" w:rsidRDefault="00754737" w:rsidP="00D722E3">
      <w:pPr>
        <w:pStyle w:val="CommentText"/>
        <w:numPr>
          <w:ilvl w:val="0"/>
          <w:numId w:val="1"/>
        </w:numPr>
      </w:pPr>
      <w:r>
        <w:t>These previous studies paved the way for a more in-depth exploration of deep subsurface biofilm communities</w:t>
      </w:r>
      <w:r w:rsidR="00D01AB2">
        <w:t xml:space="preserve"> in the recently established Deep Mine Microbial Observatory (</w:t>
      </w:r>
      <w:proofErr w:type="spellStart"/>
      <w:r w:rsidR="00D01AB2">
        <w:t>DeMMO</w:t>
      </w:r>
      <w:proofErr w:type="spellEnd"/>
      <w:r w:rsidR="00D01AB2">
        <w:t xml:space="preserve">) located in the former </w:t>
      </w:r>
      <w:proofErr w:type="spellStart"/>
      <w:r w:rsidR="00D01AB2">
        <w:t>Homestake</w:t>
      </w:r>
      <w:proofErr w:type="spellEnd"/>
      <w:r w:rsidR="00D01AB2">
        <w:t xml:space="preserve"> Gold Mine in Lead, South Dakota, USA.</w:t>
      </w:r>
    </w:p>
    <w:p w14:paraId="66DEE62E" w14:textId="77777777" w:rsidR="00754737" w:rsidRDefault="00754737" w:rsidP="00754737">
      <w:pPr>
        <w:pStyle w:val="CommentText"/>
        <w:numPr>
          <w:ilvl w:val="1"/>
          <w:numId w:val="1"/>
        </w:numPr>
      </w:pPr>
      <w:proofErr w:type="spellStart"/>
      <w:r>
        <w:t>DeMMO</w:t>
      </w:r>
      <w:proofErr w:type="spellEnd"/>
      <w:r>
        <w:t xml:space="preserve"> as a place and stuff we have done there</w:t>
      </w:r>
    </w:p>
    <w:p w14:paraId="1DFB00C3" w14:textId="77777777" w:rsidR="007026E7" w:rsidRDefault="00754737" w:rsidP="00754737">
      <w:pPr>
        <w:pStyle w:val="CommentText"/>
        <w:numPr>
          <w:ilvl w:val="2"/>
          <w:numId w:val="1"/>
        </w:numPr>
      </w:pPr>
      <w:r>
        <w:t>Good place to study continental deep subsurface biosphere</w:t>
      </w:r>
      <w:r w:rsidR="007026E7">
        <w:t xml:space="preserve"> </w:t>
      </w:r>
    </w:p>
    <w:p w14:paraId="0E572F9B" w14:textId="77777777" w:rsidR="007026E7" w:rsidRDefault="007026E7" w:rsidP="007026E7">
      <w:pPr>
        <w:pStyle w:val="CommentText"/>
        <w:numPr>
          <w:ilvl w:val="3"/>
          <w:numId w:val="1"/>
        </w:numPr>
      </w:pPr>
      <w:r>
        <w:t xml:space="preserve">convenient/easy/safe access to fracture fluids spanning range of depths, making it possible to sample fluids interacting with a variety of continental rock types and track changes in fluid chemistry/microbial communities with depth. </w:t>
      </w:r>
    </w:p>
    <w:p w14:paraId="10316F52" w14:textId="4158FFB9" w:rsidR="00754737" w:rsidRDefault="007026E7" w:rsidP="007026E7">
      <w:pPr>
        <w:pStyle w:val="CommentText"/>
        <w:numPr>
          <w:ilvl w:val="3"/>
          <w:numId w:val="1"/>
        </w:numPr>
      </w:pPr>
      <w:r>
        <w:t xml:space="preserve">Observatory makes long-term monitoring and experiments possible. </w:t>
      </w:r>
    </w:p>
    <w:p w14:paraId="538852E3" w14:textId="77777777" w:rsidR="00754737" w:rsidRDefault="00754737" w:rsidP="00754737">
      <w:pPr>
        <w:pStyle w:val="CommentText"/>
        <w:numPr>
          <w:ilvl w:val="2"/>
          <w:numId w:val="1"/>
        </w:numPr>
      </w:pPr>
      <w:r>
        <w:t xml:space="preserve">Location – Black Hills, SD, SURF, former </w:t>
      </w:r>
      <w:proofErr w:type="spellStart"/>
      <w:r>
        <w:t>Homestake</w:t>
      </w:r>
      <w:proofErr w:type="spellEnd"/>
      <w:r>
        <w:t xml:space="preserve"> Gold mine</w:t>
      </w:r>
    </w:p>
    <w:p w14:paraId="2FE0ADDA" w14:textId="4CC439E3" w:rsidR="00754737" w:rsidRDefault="00754737" w:rsidP="00754737">
      <w:pPr>
        <w:pStyle w:val="CommentText"/>
        <w:numPr>
          <w:ilvl w:val="2"/>
          <w:numId w:val="1"/>
        </w:numPr>
      </w:pPr>
      <w:r>
        <w:t>Geology</w:t>
      </w:r>
      <w:r w:rsidR="007026E7">
        <w:t>/hydrology</w:t>
      </w:r>
      <w:r>
        <w:t xml:space="preserve"> overview – Paleoproterozoic </w:t>
      </w:r>
      <w:proofErr w:type="spellStart"/>
      <w:r>
        <w:t>metasediments</w:t>
      </w:r>
      <w:proofErr w:type="spellEnd"/>
      <w:r>
        <w:t>, rich in iron and sulfur</w:t>
      </w:r>
      <w:r w:rsidR="007026E7">
        <w:t xml:space="preserve">, estimated ages of fluids </w:t>
      </w:r>
    </w:p>
    <w:p w14:paraId="597A4070" w14:textId="524EA93F" w:rsidR="00754737" w:rsidRDefault="00754737" w:rsidP="00754737">
      <w:pPr>
        <w:pStyle w:val="CommentText"/>
        <w:numPr>
          <w:ilvl w:val="2"/>
          <w:numId w:val="1"/>
        </w:numPr>
      </w:pPr>
      <w:r>
        <w:t xml:space="preserve">Establishment of </w:t>
      </w:r>
      <w:proofErr w:type="spellStart"/>
      <w:r>
        <w:t>DeMMO</w:t>
      </w:r>
      <w:proofErr w:type="spellEnd"/>
      <w:r>
        <w:t xml:space="preserve"> boreholes</w:t>
      </w:r>
    </w:p>
    <w:p w14:paraId="2EBFA47D" w14:textId="37DEC48B" w:rsidR="007026E7" w:rsidRDefault="007026E7" w:rsidP="007026E7">
      <w:pPr>
        <w:pStyle w:val="CommentText"/>
        <w:numPr>
          <w:ilvl w:val="3"/>
          <w:numId w:val="1"/>
        </w:numPr>
      </w:pPr>
      <w:r>
        <w:t xml:space="preserve">Description of packers, installations at holes 1,3,6 – boreholes sealed + fluids redirected through devices and out of sampling ports, minimizes contamination and </w:t>
      </w:r>
      <w:r>
        <w:t xml:space="preserve">disturbance to </w:t>
      </w:r>
      <w:r>
        <w:t xml:space="preserve">fracture </w:t>
      </w:r>
      <w:r>
        <w:t xml:space="preserve">fluid redox </w:t>
      </w:r>
      <w:r>
        <w:t xml:space="preserve">during sampling </w:t>
      </w:r>
    </w:p>
    <w:p w14:paraId="2704312A" w14:textId="507E660A" w:rsidR="00754737" w:rsidRDefault="007026E7" w:rsidP="00754737">
      <w:pPr>
        <w:pStyle w:val="CommentText"/>
        <w:numPr>
          <w:ilvl w:val="2"/>
          <w:numId w:val="1"/>
        </w:numPr>
      </w:pPr>
      <w:r>
        <w:t>Long-term monitoring of f</w:t>
      </w:r>
      <w:r w:rsidR="00754737">
        <w:t>luid chemistry + microbial communit</w:t>
      </w:r>
      <w:r>
        <w:t>ies</w:t>
      </w:r>
      <w:r w:rsidR="00754737">
        <w:t xml:space="preserve"> at </w:t>
      </w:r>
      <w:proofErr w:type="spellStart"/>
      <w:r w:rsidR="00754737">
        <w:t>DeMMO</w:t>
      </w:r>
      <w:proofErr w:type="spellEnd"/>
      <w:r>
        <w:t xml:space="preserve"> </w:t>
      </w:r>
      <w:r w:rsidR="00754737">
        <w:t xml:space="preserve">since Dec2015 (ref </w:t>
      </w:r>
      <w:proofErr w:type="spellStart"/>
      <w:r w:rsidR="00754737">
        <w:t>Osburn</w:t>
      </w:r>
      <w:proofErr w:type="spellEnd"/>
      <w:r w:rsidR="00754737">
        <w:t xml:space="preserve"> 2014, </w:t>
      </w:r>
      <w:proofErr w:type="spellStart"/>
      <w:r w:rsidR="00754737">
        <w:t>Osburn</w:t>
      </w:r>
      <w:proofErr w:type="spellEnd"/>
      <w:r w:rsidR="00754737">
        <w:t xml:space="preserve"> 2019 </w:t>
      </w:r>
      <w:proofErr w:type="spellStart"/>
      <w:r w:rsidR="00754737">
        <w:t>geochem</w:t>
      </w:r>
      <w:proofErr w:type="spellEnd"/>
      <w:r w:rsidR="00754737">
        <w:t xml:space="preserve"> + microbial community papers in review + in prep, </w:t>
      </w:r>
      <w:proofErr w:type="spellStart"/>
      <w:r w:rsidR="00754737">
        <w:t>Momper</w:t>
      </w:r>
      <w:proofErr w:type="spellEnd"/>
      <w:r w:rsidR="00754737">
        <w:t xml:space="preserve"> 2017 metagenomics paper, </w:t>
      </w:r>
      <w:proofErr w:type="spellStart"/>
      <w:r w:rsidR="00754737">
        <w:t>Momper</w:t>
      </w:r>
      <w:proofErr w:type="spellEnd"/>
      <w:r w:rsidR="00754737">
        <w:t xml:space="preserve"> 2019 metagenomics paper in prep)</w:t>
      </w:r>
    </w:p>
    <w:p w14:paraId="2E81E55B" w14:textId="6CAD75A1" w:rsidR="007026E7" w:rsidRDefault="007026E7" w:rsidP="007026E7">
      <w:pPr>
        <w:pStyle w:val="CommentText"/>
        <w:numPr>
          <w:ilvl w:val="3"/>
          <w:numId w:val="1"/>
        </w:numPr>
      </w:pPr>
      <w:r>
        <w:t>Summary of geochemical/community fluid trends with depth at sites included in this study: DeMMO1,</w:t>
      </w:r>
      <w:proofErr w:type="gramStart"/>
      <w:r>
        <w:t>3,and</w:t>
      </w:r>
      <w:proofErr w:type="gramEnd"/>
      <w:r>
        <w:t xml:space="preserve"> 6</w:t>
      </w:r>
    </w:p>
    <w:p w14:paraId="1ED2887B" w14:textId="1C1D6394" w:rsidR="007026E7" w:rsidRDefault="007026E7" w:rsidP="007026E7">
      <w:pPr>
        <w:pStyle w:val="CommentText"/>
        <w:numPr>
          <w:ilvl w:val="3"/>
          <w:numId w:val="1"/>
        </w:numPr>
      </w:pPr>
      <w:r>
        <w:t>Geochem/communities allowed time to stabilize after borehole modifications before experiments added</w:t>
      </w:r>
    </w:p>
    <w:p w14:paraId="128CEE74" w14:textId="6F8EBF52" w:rsidR="007026E7" w:rsidRDefault="007026E7" w:rsidP="007026E7">
      <w:pPr>
        <w:pStyle w:val="CommentText"/>
        <w:numPr>
          <w:ilvl w:val="3"/>
          <w:numId w:val="1"/>
        </w:numPr>
      </w:pPr>
      <w:r>
        <w:t>Data show no contamination/long-term disturbance to system from borehole modification</w:t>
      </w:r>
    </w:p>
    <w:p w14:paraId="026782CD" w14:textId="7F434155" w:rsidR="001A1EC8" w:rsidRDefault="001A1EC8" w:rsidP="004618FA">
      <w:pPr>
        <w:pStyle w:val="CommentText"/>
        <w:numPr>
          <w:ilvl w:val="1"/>
          <w:numId w:val="1"/>
        </w:numPr>
      </w:pPr>
      <w:r>
        <w:t>Knowledge gap – ecology of mineral-hosted biofilms in continental deep subsurface</w:t>
      </w:r>
      <w:r w:rsidR="00043DA9">
        <w:t>, specifically</w:t>
      </w:r>
      <w:r>
        <w:t xml:space="preserve">: </w:t>
      </w:r>
    </w:p>
    <w:p w14:paraId="66933F3D" w14:textId="0914761B" w:rsidR="001A1EC8" w:rsidRDefault="001A1EC8" w:rsidP="001A1EC8">
      <w:pPr>
        <w:pStyle w:val="CommentText"/>
        <w:numPr>
          <w:ilvl w:val="2"/>
          <w:numId w:val="1"/>
        </w:numPr>
      </w:pPr>
      <w:r>
        <w:t>what metabolisms with minerals are energetically favorable, and do thermodynamic models align with what we observe in situ?</w:t>
      </w:r>
      <w:r w:rsidR="00043DA9">
        <w:t xml:space="preserve"> This has been a successful way to predict microbial composition of fluid communities, but has yet to be tested for biofilm communities (</w:t>
      </w:r>
      <w:proofErr w:type="spellStart"/>
      <w:r w:rsidR="00043DA9">
        <w:t>Osburn</w:t>
      </w:r>
      <w:proofErr w:type="spellEnd"/>
      <w:r w:rsidR="00043DA9">
        <w:t xml:space="preserve"> 2014)</w:t>
      </w:r>
    </w:p>
    <w:p w14:paraId="392C2089" w14:textId="294AC519" w:rsidR="001A1EC8" w:rsidRDefault="001A1EC8" w:rsidP="001A1EC8">
      <w:pPr>
        <w:pStyle w:val="CommentText"/>
        <w:numPr>
          <w:ilvl w:val="2"/>
          <w:numId w:val="1"/>
        </w:numPr>
      </w:pPr>
      <w:r>
        <w:t xml:space="preserve">How much biofilm biomass can be supported by a given mineral type, and how does this scale to the lithology of the system? (i.e. could we constrain biofilm biomass based on estimates of </w:t>
      </w:r>
      <w:commentRangeStart w:id="4"/>
      <w:r>
        <w:t>percent mineral composition of host rock?)</w:t>
      </w:r>
      <w:r w:rsidR="00043DA9">
        <w:t xml:space="preserve"> </w:t>
      </w:r>
      <w:commentRangeEnd w:id="4"/>
      <w:r w:rsidR="00C64BED">
        <w:rPr>
          <w:rStyle w:val="CommentReference"/>
        </w:rPr>
        <w:commentReference w:id="4"/>
      </w:r>
      <w:r w:rsidR="00043DA9">
        <w:t>Previous work has estimated biofilm biomass in the continental subsurface</w:t>
      </w:r>
      <w:r w:rsidR="000504BD">
        <w:t xml:space="preserve"> (</w:t>
      </w:r>
      <w:proofErr w:type="spellStart"/>
      <w:r w:rsidR="000504BD">
        <w:t>Magnabasco</w:t>
      </w:r>
      <w:proofErr w:type="spellEnd"/>
      <w:r w:rsidR="000504BD">
        <w:t xml:space="preserve"> 2018, </w:t>
      </w:r>
      <w:proofErr w:type="spellStart"/>
      <w:r w:rsidR="000504BD">
        <w:t>Flemming</w:t>
      </w:r>
      <w:proofErr w:type="spellEnd"/>
      <w:r w:rsidR="000504BD">
        <w:t xml:space="preserve"> 2019)</w:t>
      </w:r>
      <w:r w:rsidR="00043DA9">
        <w:t>, but these estimates are based on cell counts from fluids</w:t>
      </w:r>
      <w:r w:rsidR="000504BD">
        <w:t xml:space="preserve"> and assumptions of rock density and porosity. </w:t>
      </w:r>
      <w:commentRangeStart w:id="5"/>
      <w:r w:rsidR="000504BD">
        <w:t xml:space="preserve">To our knowledge, </w:t>
      </w:r>
      <w:r w:rsidR="000447BB">
        <w:t xml:space="preserve">[statistically sound] </w:t>
      </w:r>
      <w:r w:rsidR="000504BD">
        <w:t>direct quantification of cell densities in subsurface biofilms has yet to be attempted</w:t>
      </w:r>
      <w:r w:rsidR="006559D9">
        <w:t xml:space="preserve"> </w:t>
      </w:r>
      <w:commentRangeEnd w:id="5"/>
      <w:r w:rsidR="000447BB">
        <w:rPr>
          <w:rStyle w:val="CommentReference"/>
        </w:rPr>
        <w:commentReference w:id="5"/>
      </w:r>
    </w:p>
    <w:p w14:paraId="489910DF" w14:textId="20E019C1" w:rsidR="006559D9" w:rsidRDefault="006559D9" w:rsidP="001A1EC8">
      <w:pPr>
        <w:pStyle w:val="CommentText"/>
        <w:numPr>
          <w:ilvl w:val="2"/>
          <w:numId w:val="1"/>
        </w:numPr>
      </w:pPr>
      <w:r>
        <w:lastRenderedPageBreak/>
        <w:t>How quickly do biofilms form?</w:t>
      </w:r>
    </w:p>
    <w:p w14:paraId="1246CF3F" w14:textId="79F4B9DC" w:rsidR="001A1EC8" w:rsidRDefault="001A1EC8" w:rsidP="001A1EC8">
      <w:pPr>
        <w:pStyle w:val="CommentText"/>
        <w:numPr>
          <w:ilvl w:val="2"/>
          <w:numId w:val="1"/>
        </w:numPr>
      </w:pPr>
      <w:r>
        <w:t>What community assemblage will a given mineral type support, and how do mineral-hosted communities differ from fluid communities? (i.e. is there diversity that is not being captured by fluid sampling alone?)</w:t>
      </w:r>
      <w:r w:rsidR="00043DA9">
        <w:t>. Mineral selectivity by microbes is longstanding question in microbial ecology, and lab-based studies have shown that indeed this phenomenon occurs, but to what extent and what mechanisms are involved in natural environments remains unclear.</w:t>
      </w:r>
    </w:p>
    <w:p w14:paraId="52BF968F" w14:textId="6E1CAF56" w:rsidR="000539CA" w:rsidRDefault="000539CA" w:rsidP="000539CA">
      <w:pPr>
        <w:pStyle w:val="CommentText"/>
        <w:numPr>
          <w:ilvl w:val="3"/>
          <w:numId w:val="1"/>
        </w:numPr>
      </w:pPr>
      <w:r>
        <w:t xml:space="preserve">Microbial selectivity on mineral surfaces: possible implications for weathering processes. Fungal Biology Reviews, 23(4), pp.115-121; Lawrence, J.R., </w:t>
      </w:r>
      <w:proofErr w:type="spellStart"/>
      <w:r>
        <w:t>Kwong</w:t>
      </w:r>
      <w:proofErr w:type="spellEnd"/>
      <w:r>
        <w:t xml:space="preserve">, Y.T.J. and </w:t>
      </w:r>
      <w:proofErr w:type="spellStart"/>
      <w:r>
        <w:t>Swerhone</w:t>
      </w:r>
      <w:proofErr w:type="spellEnd"/>
      <w:r>
        <w:t xml:space="preserve">, G.D.W., 2009. </w:t>
      </w:r>
    </w:p>
    <w:p w14:paraId="7E48E139" w14:textId="77777777" w:rsidR="00EC5CC3" w:rsidRDefault="00EC5CC3" w:rsidP="00EC5CC3">
      <w:pPr>
        <w:pStyle w:val="CommentText"/>
        <w:numPr>
          <w:ilvl w:val="3"/>
          <w:numId w:val="1"/>
        </w:numPr>
      </w:pPr>
      <w:proofErr w:type="spellStart"/>
      <w:r>
        <w:t>Murr</w:t>
      </w:r>
      <w:proofErr w:type="spellEnd"/>
      <w:r>
        <w:t xml:space="preserve">, L.E. and Berry, V.K., 1976. Direct observations of selective attachment of bacteria on low-grade sulfide ores and other mineral surfaces. Hydrometallurgy, 2(1), pp.11-24; Hutchens, E., 2009. </w:t>
      </w:r>
    </w:p>
    <w:p w14:paraId="5D7F78C4" w14:textId="680304B0" w:rsidR="00EC5CC3" w:rsidRDefault="00EC5CC3" w:rsidP="00D94AA3">
      <w:pPr>
        <w:pStyle w:val="CommentText"/>
        <w:numPr>
          <w:ilvl w:val="3"/>
          <w:numId w:val="1"/>
        </w:numPr>
      </w:pPr>
      <w:r>
        <w:t xml:space="preserve">Colonization and weathering of natural sulfide mineral assemblages by </w:t>
      </w:r>
      <w:proofErr w:type="spellStart"/>
      <w:r>
        <w:t>Thiobacillus</w:t>
      </w:r>
      <w:proofErr w:type="spellEnd"/>
      <w:r>
        <w:t xml:space="preserve"> </w:t>
      </w:r>
      <w:proofErr w:type="spellStart"/>
      <w:r>
        <w:t>ferrooxidans</w:t>
      </w:r>
      <w:proofErr w:type="spellEnd"/>
      <w:r>
        <w:t>. Canadian Journal of Microbiology, 43(2), pp.178-188).</w:t>
      </w:r>
    </w:p>
    <w:p w14:paraId="467B8284" w14:textId="77777777" w:rsidR="007C4632" w:rsidRDefault="001A1EC8" w:rsidP="00E451E7">
      <w:pPr>
        <w:pStyle w:val="CommentText"/>
        <w:numPr>
          <w:ilvl w:val="2"/>
          <w:numId w:val="1"/>
        </w:numPr>
      </w:pPr>
      <w:r>
        <w:t>Do we see visual evidence to support potential for extracellular electron transport mechanisms?</w:t>
      </w:r>
      <w:r w:rsidR="000504BD">
        <w:t xml:space="preserve"> Shi et al. review details the ways in which EET can occur, includes descriptions of nanowires that conduct electrons from microbe to mineral surface. We can use electron microscopy to probe for wire-like features that could play a role in EET.</w:t>
      </w:r>
    </w:p>
    <w:p w14:paraId="5F9BC66F" w14:textId="1F67BB36" w:rsidR="007C4632" w:rsidRPr="007C4632" w:rsidRDefault="000539CA" w:rsidP="007C4632">
      <w:pPr>
        <w:pStyle w:val="CommentText"/>
        <w:numPr>
          <w:ilvl w:val="1"/>
          <w:numId w:val="1"/>
        </w:numPr>
      </w:pPr>
      <w:r w:rsidRPr="007C4632">
        <w:t>Previous studies have successfully investigated biofilms in other deep subsurface settings using in situ cultivation approaches</w:t>
      </w:r>
      <w:r w:rsidR="007C4632">
        <w:t xml:space="preserve"> such as slow-through cartridges (</w:t>
      </w:r>
      <w:r w:rsidR="004618FA" w:rsidRPr="007C4632">
        <w:t>Baker</w:t>
      </w:r>
      <w:r w:rsidR="007C4632">
        <w:t xml:space="preserve"> 2003, Moser 2006) and CORKS (Circulation Obviation Retrofit </w:t>
      </w:r>
      <w:proofErr w:type="spellStart"/>
      <w:r w:rsidR="007C4632">
        <w:t>Kits)</w:t>
      </w:r>
      <w:proofErr w:type="spellEnd"/>
      <w:r w:rsidR="007C4632">
        <w:t xml:space="preserve"> (</w:t>
      </w:r>
      <w:r w:rsidRPr="007C4632">
        <w:t>Orcutt 2011</w:t>
      </w:r>
      <w:r w:rsidR="007C4632">
        <w:rPr>
          <w:color w:val="000000"/>
        </w:rPr>
        <w:t xml:space="preserve">). These devices allow for biofilm-forming members of the deep subsurface to colonize surfaces under native conditions which can be harvested for further analyses, such as genomic and microscopy surveys. These approaches minimize geochemical disturbance to the system and potential for contamination </w:t>
      </w:r>
      <w:r w:rsidR="007C4632">
        <w:rPr>
          <w:color w:val="000000"/>
        </w:rPr>
        <w:t>(i.e. via collecting rock samples)</w:t>
      </w:r>
      <w:r w:rsidR="007C4632">
        <w:rPr>
          <w:color w:val="000000"/>
        </w:rPr>
        <w:t>.</w:t>
      </w:r>
    </w:p>
    <w:p w14:paraId="3251AB89" w14:textId="7BBFA673" w:rsidR="000539CA" w:rsidRPr="007C4632" w:rsidRDefault="000539CA" w:rsidP="007C4632">
      <w:pPr>
        <w:pStyle w:val="CommentText"/>
        <w:numPr>
          <w:ilvl w:val="1"/>
          <w:numId w:val="1"/>
        </w:numPr>
      </w:pPr>
      <w:r w:rsidRPr="007C4632">
        <w:t xml:space="preserve">Here, we describe in situ cultivation approaches to investigate microbial ecology of </w:t>
      </w:r>
      <w:r w:rsidR="007C4632">
        <w:t xml:space="preserve">biofilms inhabiting fluid-filled fractures in </w:t>
      </w:r>
      <w:r w:rsidRPr="007C4632">
        <w:t>the continental deep subsurface to</w:t>
      </w:r>
      <w:r w:rsidR="007C4632">
        <w:t xml:space="preserve"> a depth of</w:t>
      </w:r>
      <w:r w:rsidRPr="007C4632">
        <w:t xml:space="preserve"> 4,850 ft</w:t>
      </w:r>
      <w:r w:rsidR="007C4632">
        <w:t>.</w:t>
      </w:r>
      <w:r w:rsidRPr="007C4632">
        <w:t xml:space="preserve"> </w:t>
      </w:r>
    </w:p>
    <w:p w14:paraId="279D1489" w14:textId="0BE3342E" w:rsidR="00C6233A" w:rsidRDefault="00C6233A"/>
    <w:p w14:paraId="78B88544" w14:textId="3948E68A" w:rsidR="00D722E3" w:rsidRDefault="00D722E3" w:rsidP="00D722E3">
      <w:pPr>
        <w:rPr>
          <w:rFonts w:ascii="Calibri" w:hAnsi="Calibri" w:cs="Calibri"/>
          <w:b/>
        </w:rPr>
      </w:pPr>
      <w:r>
        <w:rPr>
          <w:rFonts w:ascii="Calibri" w:hAnsi="Calibri" w:cs="Calibri"/>
          <w:b/>
        </w:rPr>
        <w:t>2</w:t>
      </w:r>
      <w:r w:rsidRPr="006B4718">
        <w:rPr>
          <w:rFonts w:ascii="Calibri" w:hAnsi="Calibri" w:cs="Calibri"/>
          <w:b/>
        </w:rPr>
        <w:t xml:space="preserve"> | </w:t>
      </w:r>
      <w:r>
        <w:rPr>
          <w:rFonts w:ascii="Calibri" w:hAnsi="Calibri" w:cs="Calibri"/>
          <w:b/>
        </w:rPr>
        <w:t>METHODS</w:t>
      </w:r>
    </w:p>
    <w:p w14:paraId="1CCE6934" w14:textId="538C7708" w:rsidR="00301E0A" w:rsidRDefault="00D722E3" w:rsidP="00301E0A">
      <w:pPr>
        <w:rPr>
          <w:rFonts w:ascii="Calibri" w:hAnsi="Calibri" w:cs="Calibri"/>
          <w:b/>
        </w:rPr>
      </w:pPr>
      <w:r>
        <w:rPr>
          <w:rFonts w:ascii="Calibri" w:hAnsi="Calibri" w:cs="Calibri"/>
          <w:b/>
        </w:rPr>
        <w:t xml:space="preserve">2.1 | </w:t>
      </w:r>
      <w:r w:rsidRPr="006B4718">
        <w:rPr>
          <w:rFonts w:ascii="Calibri" w:hAnsi="Calibri" w:cs="Calibri"/>
          <w:b/>
        </w:rPr>
        <w:t>Thermodynamic Modeling of Microbial Metabolisms</w:t>
      </w:r>
    </w:p>
    <w:p w14:paraId="1923C2ED" w14:textId="25738AFB" w:rsidR="001B4908" w:rsidRPr="008D0B1B" w:rsidRDefault="001B4908" w:rsidP="00301E0A">
      <w:pPr>
        <w:pStyle w:val="ListParagraph"/>
        <w:numPr>
          <w:ilvl w:val="0"/>
          <w:numId w:val="5"/>
        </w:numPr>
        <w:rPr>
          <w:sz w:val="20"/>
          <w:szCs w:val="20"/>
        </w:rPr>
      </w:pPr>
      <w:r w:rsidRPr="008D0B1B">
        <w:rPr>
          <w:sz w:val="20"/>
          <w:szCs w:val="20"/>
        </w:rPr>
        <w:t xml:space="preserve">We used geochemical data collected between Dec 2015 and Sep 2018 in thermodynamic models to determine energetically favorable metabolic reactions with minerals under in situ conditions </w:t>
      </w:r>
      <w:r w:rsidR="00724C13" w:rsidRPr="008D0B1B">
        <w:rPr>
          <w:sz w:val="20"/>
          <w:szCs w:val="20"/>
        </w:rPr>
        <w:t>at</w:t>
      </w:r>
      <w:r w:rsidRPr="008D0B1B">
        <w:rPr>
          <w:sz w:val="20"/>
          <w:szCs w:val="20"/>
        </w:rPr>
        <w:t xml:space="preserve"> </w:t>
      </w:r>
      <w:proofErr w:type="spellStart"/>
      <w:r w:rsidRPr="008D0B1B">
        <w:rPr>
          <w:sz w:val="20"/>
          <w:szCs w:val="20"/>
        </w:rPr>
        <w:t>DeMMO</w:t>
      </w:r>
      <w:proofErr w:type="spellEnd"/>
      <w:r w:rsidR="00724C13" w:rsidRPr="008D0B1B">
        <w:rPr>
          <w:sz w:val="20"/>
          <w:szCs w:val="20"/>
        </w:rPr>
        <w:t xml:space="preserve"> sites 1, 3, and 6</w:t>
      </w:r>
      <w:r w:rsidRPr="008D0B1B">
        <w:rPr>
          <w:sz w:val="20"/>
          <w:szCs w:val="20"/>
        </w:rPr>
        <w:t xml:space="preserve">. </w:t>
      </w:r>
    </w:p>
    <w:p w14:paraId="2D2C04DB" w14:textId="3024454F" w:rsidR="001B4908" w:rsidRPr="008D0B1B" w:rsidRDefault="001B4908" w:rsidP="00301E0A">
      <w:pPr>
        <w:pStyle w:val="ListParagraph"/>
        <w:numPr>
          <w:ilvl w:val="0"/>
          <w:numId w:val="5"/>
        </w:numPr>
        <w:rPr>
          <w:sz w:val="20"/>
          <w:szCs w:val="20"/>
        </w:rPr>
      </w:pPr>
      <w:r w:rsidRPr="008D0B1B">
        <w:rPr>
          <w:sz w:val="20"/>
          <w:szCs w:val="20"/>
        </w:rPr>
        <w:t xml:space="preserve">How we collected/analyzed geochemical data (ref </w:t>
      </w:r>
      <w:proofErr w:type="spellStart"/>
      <w:r w:rsidRPr="008D0B1B">
        <w:rPr>
          <w:sz w:val="20"/>
          <w:szCs w:val="20"/>
        </w:rPr>
        <w:t>Osburn</w:t>
      </w:r>
      <w:proofErr w:type="spellEnd"/>
      <w:r w:rsidRPr="008D0B1B">
        <w:rPr>
          <w:sz w:val="20"/>
          <w:szCs w:val="20"/>
        </w:rPr>
        <w:t xml:space="preserve"> 2014/2019 in review)</w:t>
      </w:r>
    </w:p>
    <w:p w14:paraId="7A83B1F3" w14:textId="24F81A18" w:rsidR="00724C13" w:rsidRPr="008D0B1B" w:rsidRDefault="00724C13" w:rsidP="00301E0A">
      <w:pPr>
        <w:pStyle w:val="ListParagraph"/>
        <w:numPr>
          <w:ilvl w:val="0"/>
          <w:numId w:val="5"/>
        </w:numPr>
        <w:rPr>
          <w:sz w:val="20"/>
          <w:szCs w:val="20"/>
        </w:rPr>
      </w:pPr>
      <w:r w:rsidRPr="008D0B1B">
        <w:rPr>
          <w:sz w:val="20"/>
          <w:szCs w:val="20"/>
        </w:rPr>
        <w:t xml:space="preserve">Table of averaged geochemical </w:t>
      </w:r>
      <w:r w:rsidR="00B376A9" w:rsidRPr="008D0B1B">
        <w:rPr>
          <w:sz w:val="20"/>
          <w:szCs w:val="20"/>
        </w:rPr>
        <w:t xml:space="preserve">data </w:t>
      </w:r>
      <w:r w:rsidRPr="008D0B1B">
        <w:rPr>
          <w:sz w:val="20"/>
          <w:szCs w:val="20"/>
        </w:rPr>
        <w:t>for each site</w:t>
      </w:r>
      <w:r w:rsidR="003E4C54">
        <w:rPr>
          <w:sz w:val="20"/>
          <w:szCs w:val="20"/>
        </w:rPr>
        <w:t xml:space="preserve">, include explanation for acetate concentrations assumed from DOC measurements </w:t>
      </w:r>
    </w:p>
    <w:p w14:paraId="58E69EDD" w14:textId="2F6177A2" w:rsidR="001B4908" w:rsidRPr="008D0B1B" w:rsidRDefault="001B4908" w:rsidP="00301E0A">
      <w:pPr>
        <w:pStyle w:val="ListParagraph"/>
        <w:numPr>
          <w:ilvl w:val="0"/>
          <w:numId w:val="5"/>
        </w:numPr>
        <w:rPr>
          <w:sz w:val="20"/>
          <w:szCs w:val="20"/>
        </w:rPr>
      </w:pPr>
      <w:r w:rsidRPr="008D0B1B">
        <w:rPr>
          <w:sz w:val="20"/>
          <w:szCs w:val="20"/>
        </w:rPr>
        <w:t xml:space="preserve">Equations for Q and </w:t>
      </w:r>
      <w:proofErr w:type="spellStart"/>
      <w:r w:rsidRPr="008D0B1B">
        <w:rPr>
          <w:sz w:val="20"/>
          <w:szCs w:val="20"/>
        </w:rPr>
        <w:t>deltaG</w:t>
      </w:r>
      <w:proofErr w:type="spellEnd"/>
      <w:r w:rsidRPr="008D0B1B">
        <w:rPr>
          <w:sz w:val="20"/>
          <w:szCs w:val="20"/>
        </w:rPr>
        <w:t xml:space="preserve"> (ref </w:t>
      </w:r>
      <w:proofErr w:type="spellStart"/>
      <w:r w:rsidRPr="008D0B1B">
        <w:rPr>
          <w:sz w:val="20"/>
          <w:szCs w:val="20"/>
        </w:rPr>
        <w:t>Osburn</w:t>
      </w:r>
      <w:proofErr w:type="spellEnd"/>
      <w:r w:rsidRPr="008D0B1B">
        <w:rPr>
          <w:sz w:val="20"/>
          <w:szCs w:val="20"/>
        </w:rPr>
        <w:t xml:space="preserve"> 2014)</w:t>
      </w:r>
    </w:p>
    <w:p w14:paraId="4EBF5023" w14:textId="49374D4E" w:rsidR="00301E0A" w:rsidRPr="008D0B1B" w:rsidRDefault="001B4908" w:rsidP="00301E0A">
      <w:pPr>
        <w:pStyle w:val="ListParagraph"/>
        <w:numPr>
          <w:ilvl w:val="0"/>
          <w:numId w:val="5"/>
        </w:numPr>
        <w:rPr>
          <w:sz w:val="20"/>
          <w:szCs w:val="20"/>
        </w:rPr>
      </w:pPr>
      <w:r w:rsidRPr="008D0B1B">
        <w:rPr>
          <w:sz w:val="20"/>
          <w:szCs w:val="20"/>
        </w:rPr>
        <w:t xml:space="preserve">Software used: </w:t>
      </w:r>
      <w:r w:rsidR="00301E0A" w:rsidRPr="008D0B1B">
        <w:rPr>
          <w:sz w:val="20"/>
          <w:szCs w:val="20"/>
        </w:rPr>
        <w:t>CHNOSZ, SPECE8</w:t>
      </w:r>
    </w:p>
    <w:p w14:paraId="7B209FE5" w14:textId="3433D88C" w:rsidR="001B4908" w:rsidRPr="008D0B1B" w:rsidRDefault="001B4908" w:rsidP="001B4908">
      <w:pPr>
        <w:pStyle w:val="ListParagraph"/>
        <w:numPr>
          <w:ilvl w:val="3"/>
          <w:numId w:val="5"/>
        </w:numPr>
        <w:rPr>
          <w:sz w:val="20"/>
          <w:szCs w:val="20"/>
        </w:rPr>
      </w:pPr>
      <w:r w:rsidRPr="008D0B1B">
        <w:rPr>
          <w:sz w:val="20"/>
          <w:szCs w:val="20"/>
        </w:rPr>
        <w:fldChar w:fldCharType="begin"/>
      </w:r>
      <w:r w:rsidRPr="008D0B1B">
        <w:rPr>
          <w:sz w:val="20"/>
          <w:szCs w:val="20"/>
        </w:rPr>
        <w:instrText xml:space="preserve"> ADDIN ZOTERO_ITEM CSL_CITATION {"citationID":"K0yZIxa4","properties":{"formattedCitation":"(Dick, 2008)","plainCitation":"(Dick, 2008)","noteIndex":0},"citationItems":[{"id":175,"uris":["http://zotero.org/users/local/dsI5V9tJ/items/2QUJW46H"],"uri":["http://zotero.org/users/local/dsI5V9tJ/items/2QUJW46H"],"itemData":{"id":175,"type":"article-journal","title":"Calculation of the relative metastabilities of proteins using the CHNOSZ software package","container-title":"Geochemical Transactions","page":"10","volume":"9","issue":"1","source":"CrossRef","abstract":"Background: Proteins of various compositions are required by organisms inhabiting different environments. The energetic demands for protein formation are a function of the compositions of proteins as well as geochemical variables including temperature, pressure, oxygen fugacity and pH. The purpose of this study was to explore the dependence of metastable equilibrium states of protein systems on changes in the geochemical variables.\nResults: A software package called CHNOSZ implementing the revised Helgeson-KirkhamFlowers (HKF) equations of state and group additivity for ionized unfolded aqueous proteins was developed. The program can be used to calculate standard molal Gibbs energies and other thermodynamic properties of reactions and to make chemical speciation and predominance diagrams that represent the metastable equilibrium distributions of proteins. The approach takes account of the chemical affinities of reactions in open systems characterized by the chemical potentials of basis species. The thermodynamic database included with the package permits application of the software to mineral and other inorganic systems as well as systems of proteins or other biomolecules.\nConclusion: Metastable equilibrium activity diagrams were generated for model cell-surface proteins from archaea and bacteria adapted to growth in environments that differ in temperature and chemical conditions. The predicted metastable equilibrium distributions of the proteins can be compared with the optimal growth temperatures of the organisms and with geochemical variables. The results suggest that a thermodynamic assessment of protein metastability may be useful for integrating bio- and geochemical observations.","DOI":"10.1186/1467-4866-9-10","ISSN":"1467-4866","language":"en","author":[{"family":"Dick","given":"Jeffrey M"}],"issued":{"date-parts":[["2008"]]}}}],"schema":"https://github.com/citation-style-language/schema/raw/master/csl-citation.json"} </w:instrText>
      </w:r>
      <w:r w:rsidRPr="008D0B1B">
        <w:rPr>
          <w:sz w:val="20"/>
          <w:szCs w:val="20"/>
        </w:rPr>
        <w:fldChar w:fldCharType="separate"/>
      </w:r>
      <w:r w:rsidRPr="008D0B1B">
        <w:rPr>
          <w:noProof/>
          <w:sz w:val="20"/>
          <w:szCs w:val="20"/>
        </w:rPr>
        <w:t>(Dick, 2008)</w:t>
      </w:r>
      <w:r w:rsidRPr="008D0B1B">
        <w:rPr>
          <w:sz w:val="20"/>
          <w:szCs w:val="20"/>
        </w:rPr>
        <w:fldChar w:fldCharType="end"/>
      </w:r>
      <w:r w:rsidRPr="008D0B1B">
        <w:rPr>
          <w:sz w:val="20"/>
          <w:szCs w:val="20"/>
        </w:rPr>
        <w:t xml:space="preserve"> </w:t>
      </w:r>
      <w:proofErr w:type="spellStart"/>
      <w:r w:rsidRPr="008D0B1B">
        <w:rPr>
          <w:sz w:val="20"/>
          <w:szCs w:val="20"/>
        </w:rPr>
        <w:t>CHNOSZ</w:t>
      </w:r>
      <w:proofErr w:type="spellEnd"/>
      <w:r w:rsidRPr="008D0B1B">
        <w:rPr>
          <w:sz w:val="20"/>
          <w:szCs w:val="20"/>
        </w:rPr>
        <w:t xml:space="preserve"> </w:t>
      </w:r>
    </w:p>
    <w:p w14:paraId="390090E7" w14:textId="53B775A6" w:rsidR="001B4908" w:rsidRPr="008D0B1B" w:rsidRDefault="001B4908" w:rsidP="001B4908">
      <w:pPr>
        <w:pStyle w:val="ListParagraph"/>
        <w:numPr>
          <w:ilvl w:val="3"/>
          <w:numId w:val="5"/>
        </w:numPr>
        <w:rPr>
          <w:sz w:val="20"/>
          <w:szCs w:val="20"/>
        </w:rPr>
      </w:pPr>
      <w:proofErr w:type="spellStart"/>
      <w:r w:rsidRPr="008D0B1B">
        <w:rPr>
          <w:sz w:val="20"/>
          <w:szCs w:val="20"/>
        </w:rPr>
        <w:t>Bethke</w:t>
      </w:r>
      <w:proofErr w:type="spellEnd"/>
      <w:r w:rsidRPr="008D0B1B">
        <w:rPr>
          <w:sz w:val="20"/>
          <w:szCs w:val="20"/>
        </w:rPr>
        <w:t xml:space="preserve"> 2015 GWB essentials guide </w:t>
      </w:r>
    </w:p>
    <w:p w14:paraId="36DBFBD1" w14:textId="6F17988E" w:rsidR="001B4908" w:rsidRPr="008D0B1B" w:rsidRDefault="001B4908" w:rsidP="00301E0A">
      <w:pPr>
        <w:pStyle w:val="ListParagraph"/>
        <w:numPr>
          <w:ilvl w:val="0"/>
          <w:numId w:val="5"/>
        </w:numPr>
        <w:rPr>
          <w:sz w:val="20"/>
          <w:szCs w:val="20"/>
        </w:rPr>
      </w:pPr>
      <w:commentRangeStart w:id="7"/>
      <w:r w:rsidRPr="008D0B1B">
        <w:rPr>
          <w:sz w:val="20"/>
          <w:szCs w:val="20"/>
        </w:rPr>
        <w:t>Table of balanced reactions with minerals we modeled, including number of electrons transferred + footnote citations for K constants for reactants (i.e. Doug, citations for constants used in CHNOSZ database – these are easily obtainable in R)</w:t>
      </w:r>
      <w:commentRangeEnd w:id="7"/>
      <w:r w:rsidR="00027F1E">
        <w:rPr>
          <w:rStyle w:val="CommentReference"/>
        </w:rPr>
        <w:commentReference w:id="7"/>
      </w:r>
    </w:p>
    <w:p w14:paraId="4D709BF7" w14:textId="45C3447B" w:rsidR="00D722E3" w:rsidRDefault="00D722E3" w:rsidP="00D722E3">
      <w:pPr>
        <w:rPr>
          <w:rFonts w:ascii="Calibri" w:hAnsi="Calibri" w:cs="Calibri"/>
          <w:b/>
        </w:rPr>
      </w:pPr>
      <w:r>
        <w:rPr>
          <w:rFonts w:ascii="Calibri" w:hAnsi="Calibri" w:cs="Calibri"/>
          <w:b/>
        </w:rPr>
        <w:t>2.2 | Field Experiments</w:t>
      </w:r>
    </w:p>
    <w:p w14:paraId="6F26F0D5" w14:textId="14AB4BB3" w:rsidR="00724C13" w:rsidRPr="008D0B1B" w:rsidRDefault="00B376A9" w:rsidP="00724C13">
      <w:pPr>
        <w:pStyle w:val="ListParagraph"/>
        <w:numPr>
          <w:ilvl w:val="0"/>
          <w:numId w:val="6"/>
        </w:numPr>
        <w:rPr>
          <w:b/>
          <w:sz w:val="20"/>
          <w:szCs w:val="20"/>
        </w:rPr>
      </w:pPr>
      <w:r w:rsidRPr="008D0B1B">
        <w:rPr>
          <w:sz w:val="20"/>
          <w:szCs w:val="20"/>
        </w:rPr>
        <w:t xml:space="preserve">We used in situ colonization experiments to probe for biofilm-forming members of </w:t>
      </w:r>
      <w:proofErr w:type="spellStart"/>
      <w:r w:rsidRPr="008D0B1B">
        <w:rPr>
          <w:sz w:val="20"/>
          <w:szCs w:val="20"/>
        </w:rPr>
        <w:t>DeMMO</w:t>
      </w:r>
      <w:proofErr w:type="spellEnd"/>
      <w:r w:rsidRPr="008D0B1B">
        <w:rPr>
          <w:sz w:val="20"/>
          <w:szCs w:val="20"/>
        </w:rPr>
        <w:t xml:space="preserve"> fracture fluid communities at each site. </w:t>
      </w:r>
    </w:p>
    <w:p w14:paraId="0A83D039" w14:textId="2301AE14" w:rsidR="00B376A9" w:rsidRPr="008D0B1B" w:rsidRDefault="00B376A9" w:rsidP="00724C13">
      <w:pPr>
        <w:pStyle w:val="ListParagraph"/>
        <w:numPr>
          <w:ilvl w:val="0"/>
          <w:numId w:val="6"/>
        </w:numPr>
        <w:rPr>
          <w:b/>
          <w:sz w:val="20"/>
          <w:szCs w:val="20"/>
        </w:rPr>
      </w:pPr>
      <w:r w:rsidRPr="008D0B1B">
        <w:rPr>
          <w:sz w:val="20"/>
          <w:szCs w:val="20"/>
        </w:rPr>
        <w:t>Description of cartridges, minerals used in each experiment, rocks, internal and parallel controls, ambient background controls</w:t>
      </w:r>
    </w:p>
    <w:p w14:paraId="127FEF0A" w14:textId="5C5DE284" w:rsidR="00B376A9" w:rsidRPr="008D0B1B" w:rsidRDefault="00B376A9" w:rsidP="00724C13">
      <w:pPr>
        <w:pStyle w:val="ListParagraph"/>
        <w:numPr>
          <w:ilvl w:val="0"/>
          <w:numId w:val="6"/>
        </w:numPr>
        <w:rPr>
          <w:b/>
          <w:sz w:val="20"/>
          <w:szCs w:val="20"/>
        </w:rPr>
      </w:pPr>
      <w:r w:rsidRPr="008D0B1B">
        <w:rPr>
          <w:sz w:val="20"/>
          <w:szCs w:val="20"/>
        </w:rPr>
        <w:t xml:space="preserve">Table of dates each experiment ran </w:t>
      </w:r>
    </w:p>
    <w:p w14:paraId="18C7BC65" w14:textId="41F3838A" w:rsidR="00B376A9" w:rsidRPr="008D0B1B" w:rsidRDefault="00B376A9" w:rsidP="00B376A9">
      <w:pPr>
        <w:pStyle w:val="ListParagraph"/>
        <w:numPr>
          <w:ilvl w:val="0"/>
          <w:numId w:val="6"/>
        </w:numPr>
        <w:rPr>
          <w:b/>
          <w:sz w:val="20"/>
          <w:szCs w:val="20"/>
        </w:rPr>
      </w:pPr>
      <w:r w:rsidRPr="008D0B1B">
        <w:rPr>
          <w:sz w:val="20"/>
          <w:szCs w:val="20"/>
        </w:rPr>
        <w:t>Sample collection for downstream analyses (DNA, SEM)</w:t>
      </w:r>
    </w:p>
    <w:p w14:paraId="4530E01F" w14:textId="34E7A5E5" w:rsidR="00D722E3" w:rsidRDefault="00D722E3" w:rsidP="00D722E3">
      <w:pPr>
        <w:rPr>
          <w:rFonts w:ascii="Calibri" w:hAnsi="Calibri" w:cs="Calibri"/>
          <w:b/>
        </w:rPr>
      </w:pPr>
      <w:r>
        <w:rPr>
          <w:rFonts w:ascii="Calibri" w:hAnsi="Calibri" w:cs="Calibri"/>
          <w:b/>
        </w:rPr>
        <w:t xml:space="preserve">2.3 | </w:t>
      </w:r>
      <w:r w:rsidRPr="006B4718">
        <w:rPr>
          <w:rFonts w:ascii="Calibri" w:hAnsi="Calibri" w:cs="Calibri"/>
          <w:b/>
        </w:rPr>
        <w:t xml:space="preserve">Microbial Community </w:t>
      </w:r>
      <w:commentRangeStart w:id="8"/>
      <w:r w:rsidRPr="006B4718">
        <w:rPr>
          <w:rFonts w:ascii="Calibri" w:hAnsi="Calibri" w:cs="Calibri"/>
          <w:b/>
        </w:rPr>
        <w:t>Analysis</w:t>
      </w:r>
      <w:commentRangeEnd w:id="8"/>
      <w:r w:rsidR="00711809">
        <w:rPr>
          <w:rStyle w:val="CommentReference"/>
        </w:rPr>
        <w:commentReference w:id="8"/>
      </w:r>
    </w:p>
    <w:p w14:paraId="35D416F0" w14:textId="69E32701" w:rsidR="00B376A9" w:rsidRPr="008D0B1B" w:rsidRDefault="00B376A9" w:rsidP="00B376A9">
      <w:pPr>
        <w:pStyle w:val="ListParagraph"/>
        <w:numPr>
          <w:ilvl w:val="0"/>
          <w:numId w:val="7"/>
        </w:numPr>
        <w:rPr>
          <w:b/>
          <w:sz w:val="20"/>
          <w:szCs w:val="20"/>
        </w:rPr>
      </w:pPr>
      <w:r w:rsidRPr="008D0B1B">
        <w:rPr>
          <w:sz w:val="20"/>
          <w:szCs w:val="20"/>
        </w:rPr>
        <w:t xml:space="preserve">To identify members of the microbial communities in fracture fluids and biofilms, we extracted community DNA and sequenced community 16s rRNA genes. </w:t>
      </w:r>
    </w:p>
    <w:p w14:paraId="75C9E459" w14:textId="360A26C4" w:rsidR="00B376A9" w:rsidRPr="008D0B1B" w:rsidRDefault="00B376A9" w:rsidP="00B376A9">
      <w:pPr>
        <w:pStyle w:val="ListParagraph"/>
        <w:numPr>
          <w:ilvl w:val="0"/>
          <w:numId w:val="7"/>
        </w:numPr>
        <w:rPr>
          <w:b/>
          <w:sz w:val="20"/>
          <w:szCs w:val="20"/>
        </w:rPr>
      </w:pPr>
      <w:r w:rsidRPr="008D0B1B">
        <w:rPr>
          <w:sz w:val="20"/>
          <w:szCs w:val="20"/>
        </w:rPr>
        <w:lastRenderedPageBreak/>
        <w:t>DNA extraction protocol</w:t>
      </w:r>
    </w:p>
    <w:p w14:paraId="3E7DFAAE" w14:textId="1FAEF383" w:rsidR="00B376A9" w:rsidRPr="008D0B1B" w:rsidRDefault="00B376A9" w:rsidP="00B376A9">
      <w:pPr>
        <w:pStyle w:val="ListParagraph"/>
        <w:numPr>
          <w:ilvl w:val="0"/>
          <w:numId w:val="7"/>
        </w:numPr>
        <w:rPr>
          <w:b/>
          <w:sz w:val="20"/>
          <w:szCs w:val="20"/>
        </w:rPr>
      </w:pPr>
      <w:r w:rsidRPr="008D0B1B">
        <w:rPr>
          <w:sz w:val="20"/>
          <w:szCs w:val="20"/>
        </w:rPr>
        <w:t xml:space="preserve">Whole genomic DNA sent to Argonne for amplification of V4 hypervariable region of 16s rRNA genes using 516F and 806R universal primers for bacteria and archaea and sequencing on an Illumina </w:t>
      </w:r>
      <w:proofErr w:type="spellStart"/>
      <w:r w:rsidRPr="008D0B1B">
        <w:rPr>
          <w:sz w:val="20"/>
          <w:szCs w:val="20"/>
        </w:rPr>
        <w:t>MiSeq</w:t>
      </w:r>
      <w:proofErr w:type="spellEnd"/>
      <w:r w:rsidRPr="008D0B1B">
        <w:rPr>
          <w:sz w:val="20"/>
          <w:szCs w:val="20"/>
        </w:rPr>
        <w:t xml:space="preserve"> platform. </w:t>
      </w:r>
    </w:p>
    <w:p w14:paraId="1AD11BF7" w14:textId="221CFC53" w:rsidR="00B376A9" w:rsidRPr="007026E7" w:rsidRDefault="00B376A9" w:rsidP="00B376A9">
      <w:pPr>
        <w:pStyle w:val="ListParagraph"/>
        <w:numPr>
          <w:ilvl w:val="0"/>
          <w:numId w:val="7"/>
        </w:numPr>
        <w:rPr>
          <w:b/>
          <w:sz w:val="20"/>
          <w:szCs w:val="20"/>
        </w:rPr>
      </w:pPr>
      <w:r w:rsidRPr="008D0B1B">
        <w:rPr>
          <w:sz w:val="20"/>
          <w:szCs w:val="20"/>
        </w:rPr>
        <w:t>Quality-filtering and taxonomy classification pipeline, taxonomy reference database</w:t>
      </w:r>
    </w:p>
    <w:p w14:paraId="4D08B240" w14:textId="478853CA" w:rsidR="007026E7" w:rsidRPr="00F03C69" w:rsidRDefault="007026E7" w:rsidP="007026E7">
      <w:pPr>
        <w:pStyle w:val="ListParagraph"/>
        <w:numPr>
          <w:ilvl w:val="1"/>
          <w:numId w:val="7"/>
        </w:numPr>
        <w:rPr>
          <w:b/>
          <w:sz w:val="20"/>
          <w:szCs w:val="20"/>
        </w:rPr>
      </w:pPr>
      <w:r>
        <w:rPr>
          <w:sz w:val="20"/>
          <w:szCs w:val="20"/>
        </w:rPr>
        <w:t xml:space="preserve">OUT picking method, why we chose it over ASV’s </w:t>
      </w:r>
      <w:r>
        <w:rPr>
          <w:sz w:val="20"/>
          <w:szCs w:val="20"/>
        </w:rPr>
        <w:fldChar w:fldCharType="begin"/>
      </w:r>
      <w:r>
        <w:rPr>
          <w:sz w:val="20"/>
          <w:szCs w:val="20"/>
        </w:rPr>
        <w:instrText xml:space="preserve"> ADDIN ZOTERO_ITEM CSL_CITATION {"citationID":"8k7AGwQM","properties":{"formattedCitation":"(Glassman &amp; Martiny, 2018)","plainCitation":"(Glassman &amp; Martiny, 2018)","noteIndex":0},"citationItems":[{"id":386,"uris":["http://zotero.org/users/local/dsI5V9tJ/items/9XXP32R8"],"uri":["http://zotero.org/users/local/dsI5V9tJ/items/9XXP32R8"],"itemData":{"id":386,"type":"article-journal","title":"Broadscale Ecological Patterns Are Robust to Use of Exact Sequence Variants versus Operational Taxonomic Units","container-title":"mSphere","page":"e00148-18","volume":"3","issue":"4","source":"msphere.asm.org","abstract":"Recent discussion focuses on the best method for delineating microbial taxa, based on either exact sequence variants (ESVs) or traditional operational taxonomic units (OTUs) of marker gene sequences. We sought to test if the binning approach (ESVs versus 97% OTUs) affected the ecological conclusions of a large field study. The data set included sequences targeting all bacteria (16S rRNA) and fungi (internal transcribed spacer [ITS]), across multiple environments diverging markedly in abiotic conditions, over three collection times. Despite quantitative differences in microbial richness, we found that all α and β diversity metrics were highly positively correlated (r &gt; 0.90) between samples analyzed with both approaches. Moreover, the community composition of the dominant taxa did not vary between approaches. Consequently, statistical inferences were nearly indistinguishable. Furthermore, ESVs only moderately increased the genetic resolution of fungal and bacterial diversity (1.3 and 2.1 times OTU richness, respectively). We conclude that for broadscale (e.g., all bacteria or all fungi) α and β diversity analyses, ESV or OTU methods will often reveal similar ecological results. Thus, while there are good reasons to employ ESVs, we need not question the validity of results based on OTUs.\nIMPORTANCE Microbial ecologists have made exceptional improvements in our understanding of microbiomes in the last decade due to breakthroughs in sequencing technologies. These advances have wide-ranging implications for fields ranging from agriculture to human health. Due to limitations in databases, the majority of microbial ecology studies use a binning approach to approximate taxonomy based on DNA sequence similarity. There remains extensive debate on the best way to bin and approximate this taxonomy. Here we examine two popular approaches using a large field-based data set examining both bacteria and fungi and conclude that there are not major differences in the ecological outcomes. Thus, it appears that standard microbial community analyses are not overly sensitive to the particulars of binning approaches.","DOI":"10.1128/mSphere.00148-18","ISSN":"2379-5042","note":"PMID: 30021874","language":"en","author":[{"family":"Glassman","given":"Sydney I."},{"family":"Martiny","given":"Jennifer B. H."}],"issued":{"date-parts":[["2018",8,29]]}}}],"schema":"https://github.com/citation-style-language/schema/raw/master/csl-citation.json"} </w:instrText>
      </w:r>
      <w:r>
        <w:rPr>
          <w:sz w:val="20"/>
          <w:szCs w:val="20"/>
        </w:rPr>
        <w:fldChar w:fldCharType="separate"/>
      </w:r>
      <w:r>
        <w:rPr>
          <w:noProof/>
          <w:sz w:val="20"/>
          <w:szCs w:val="20"/>
        </w:rPr>
        <w:t>(Glassman &amp; Martiny, 2018)</w:t>
      </w:r>
      <w:r>
        <w:rPr>
          <w:sz w:val="20"/>
          <w:szCs w:val="20"/>
        </w:rPr>
        <w:fldChar w:fldCharType="end"/>
      </w:r>
    </w:p>
    <w:p w14:paraId="53B254DD" w14:textId="4052FF89" w:rsidR="00F03C69" w:rsidRPr="00F03C69" w:rsidRDefault="00F03C69" w:rsidP="00F03C69">
      <w:pPr>
        <w:pStyle w:val="ListParagraph"/>
        <w:numPr>
          <w:ilvl w:val="1"/>
          <w:numId w:val="7"/>
        </w:numPr>
        <w:rPr>
          <w:sz w:val="20"/>
          <w:szCs w:val="20"/>
        </w:rPr>
      </w:pPr>
      <w:r>
        <w:rPr>
          <w:sz w:val="20"/>
          <w:szCs w:val="20"/>
        </w:rPr>
        <w:t xml:space="preserve">QIIME, PEAR, USEARCH </w:t>
      </w:r>
      <w:r w:rsidRPr="00F03C69">
        <w:rPr>
          <w:sz w:val="20"/>
          <w:szCs w:val="20"/>
        </w:rPr>
        <w:fldChar w:fldCharType="begin"/>
      </w:r>
      <w:r w:rsidRPr="00F03C69">
        <w:rPr>
          <w:sz w:val="20"/>
          <w:szCs w:val="20"/>
        </w:rPr>
        <w:instrText xml:space="preserve"> ADDIN ZOTERO_ITEM CSL_CITATION {"citationID":"0dG8syeo","properties":{"formattedCitation":"(Caporaso {\\i{}et al.}, 2010)","plainCitation":"(Caporaso et al., 2010)","noteIndex":0},"citationItems":[{"id":125,"uris":["http://zotero.org/users/local/dsI5V9tJ/items/NUEIN4UH"],"uri":["http://zotero.org/users/local/dsI5V9tJ/items/NUEIN4UH"],"itemData":{"id":125,"type":"article-journal","title":"QIIME allows analysis of high-throughput community sequencing data","container-title":"Nature methods","page":"335-336","volume":"7","issue":"5","source":"PubMed Central","DOI":"10.1038/nmeth.f.303","ISSN":"1548-7091","note":"PMID: 20383131\nPMCID: PMC3156573","journalAbbreviation":"Nat Methods","author":[{"family":"Caporaso","given":"J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Pr="00F03C69">
        <w:rPr>
          <w:sz w:val="20"/>
          <w:szCs w:val="20"/>
        </w:rPr>
        <w:fldChar w:fldCharType="separate"/>
      </w:r>
      <w:r w:rsidRPr="00F03C69">
        <w:rPr>
          <w:sz w:val="20"/>
        </w:rPr>
        <w:t>(</w:t>
      </w:r>
      <w:proofErr w:type="spellStart"/>
      <w:r w:rsidRPr="00F03C69">
        <w:rPr>
          <w:sz w:val="20"/>
        </w:rPr>
        <w:t>Caporaso</w:t>
      </w:r>
      <w:proofErr w:type="spellEnd"/>
      <w:r w:rsidRPr="00F03C69">
        <w:rPr>
          <w:sz w:val="20"/>
        </w:rPr>
        <w:t xml:space="preserve"> </w:t>
      </w:r>
      <w:r w:rsidRPr="00F03C69">
        <w:rPr>
          <w:i/>
          <w:iCs/>
          <w:sz w:val="20"/>
        </w:rPr>
        <w:t>et al.</w:t>
      </w:r>
      <w:r w:rsidRPr="00F03C69">
        <w:rPr>
          <w:sz w:val="20"/>
        </w:rPr>
        <w:t>, 2010)</w:t>
      </w:r>
      <w:r w:rsidRPr="00F03C69">
        <w:rPr>
          <w:sz w:val="20"/>
          <w:szCs w:val="20"/>
        </w:rPr>
        <w:fldChar w:fldCharType="end"/>
      </w:r>
      <w:r w:rsidRPr="00F03C69">
        <w:rPr>
          <w:sz w:val="20"/>
          <w:szCs w:val="20"/>
        </w:rPr>
        <w:fldChar w:fldCharType="begin"/>
      </w:r>
      <w:r w:rsidRPr="00F03C69">
        <w:rPr>
          <w:sz w:val="20"/>
          <w:szCs w:val="20"/>
        </w:rPr>
        <w:instrText xml:space="preserve"> ADDIN ZOTERO_ITEM CSL_CITATION {"citationID":"Ap83xv5y","properties":{"formattedCitation":"(Edgar, 2013)","plainCitation":"(Edgar, 2013)","noteIndex":0},"citationItems":[{"id":371,"uris":["http://zotero.org/users/local/dsI5V9tJ/items/9GJ3LZJL"],"uri":["http://zotero.org/users/local/dsI5V9tJ/items/9GJ3LZJL"],"itemData":{"id":371,"type":"article-journal","title":"UPARSE: highly accurate OTU sequences from microbial amplicon reads","container-title":"Nature Methods","page":"996-998","volume":"10","issue":"10","source":"Crossref","DOI":"10.1038/nmeth.2604","ISSN":"1548-7091, 1548-7105","shortTitle":"UPARSE","language":"en","author":[{"family":"Edgar","given":"Robert C"}],"issued":{"date-parts":[["2013",10]]}}}],"schema":"https://github.com/citation-style-language/schema/raw/master/csl-citation.json"} </w:instrText>
      </w:r>
      <w:r w:rsidRPr="00F03C69">
        <w:rPr>
          <w:sz w:val="20"/>
          <w:szCs w:val="20"/>
        </w:rPr>
        <w:fldChar w:fldCharType="separate"/>
      </w:r>
      <w:r w:rsidRPr="00F03C69">
        <w:rPr>
          <w:noProof/>
          <w:sz w:val="20"/>
          <w:szCs w:val="20"/>
        </w:rPr>
        <w:t>(Edgar, 2013)</w:t>
      </w:r>
      <w:r w:rsidRPr="00F03C69">
        <w:rPr>
          <w:sz w:val="20"/>
          <w:szCs w:val="20"/>
        </w:rPr>
        <w:fldChar w:fldCharType="end"/>
      </w:r>
      <w:r>
        <w:rPr>
          <w:sz w:val="20"/>
          <w:szCs w:val="20"/>
        </w:rPr>
        <w:fldChar w:fldCharType="begin"/>
      </w:r>
      <w:r>
        <w:rPr>
          <w:sz w:val="20"/>
          <w:szCs w:val="20"/>
        </w:rPr>
        <w:instrText xml:space="preserve"> ADDIN ZOTERO_ITEM CSL_CITATION {"citationID":"8YxYVdjA","properties":{"formattedCitation":"(Zhang {\\i{}et al.}, 2014)","plainCitation":"(Zhang et al., 2014)","noteIndex":0},"citationItems":[{"id":376,"uris":["http://zotero.org/users/local/dsI5V9tJ/items/ZG9GYK4M"],"uri":["http://zotero.org/users/local/dsI5V9tJ/items/ZG9GYK4M"],"itemData":{"id":376,"type":"article-journal","title":"PEAR: a fast and accurate Illumina Paired-End reAd mergeR","container-title":"Bioinformatics","page":"614-620","volume":"30","issue":"5","source":"PubMed Central","abstract":"Motivation: The Illumina paired-end sequencing technology can generate reads from both ends of target DNA fragments, which can subsequently be merged to increase the overall read length. There already exist tools for merging these paired-end reads when the target fragments are equally long. However, when fragment lengths vary and, in particular, when either the fragment size is shorter than a single-end read, or longer than twice the size of a single-end read, most state-of-the-art mergers fail to generate reliable results. Therefore, a robust tool is needed to merge paired-end reads that exhibit varying overlap lengths because of varying target fragment lengths., Results: We present the PEAR software for merging raw Illumina paired-end reads from target fragments of varying length. The program evaluates all possible paired-end read overlaps and does not require the target fragment size as input. It also implements a statistical test for minimizing false-positive results. Tests on simulated and empirical data show that PEAR consistently generates highly accurate merged paired-end reads. A highly optimized implementation allows for merging millions of paired-end reads within a few minutes on a standard desktop computer. On multi-core architectures, the parallel version of PEAR shows linear speedups compared with the sequential version of PEAR., Availability and implementation: PEAR is implemented in C and uses POSIX threads. It is freely available at http://www.exelixis-lab.org/web/software/pear., Contact:\nTomas.Flouri@h-its.org","DOI":"10.1093/bioinformatics/btt593","ISSN":"1367-4803","note":"PMID: 24142950\nPMCID: PMC3933873","shortTitle":"PEAR","journalAbbreviation":"Bioinformatics","author":[{"family":"Zhang","given":"Jiajie"},{"family":"Kobert","given":"Kassian"},{"family":"Flouri","given":"Tomáš"},{"family":"Stamatakis","given":"Alexandros"}],"issued":{"date-parts":[["2014",3,1]]}}}],"schema":"https://github.com/citation-style-language/schema/raw/master/csl-citation.json"} </w:instrText>
      </w:r>
      <w:r>
        <w:rPr>
          <w:sz w:val="20"/>
          <w:szCs w:val="20"/>
        </w:rPr>
        <w:fldChar w:fldCharType="separate"/>
      </w:r>
      <w:r w:rsidRPr="00F03C69">
        <w:rPr>
          <w:sz w:val="20"/>
        </w:rPr>
        <w:t xml:space="preserve">(Zhang </w:t>
      </w:r>
      <w:r w:rsidRPr="00F03C69">
        <w:rPr>
          <w:i/>
          <w:iCs/>
          <w:sz w:val="20"/>
        </w:rPr>
        <w:t>et al.</w:t>
      </w:r>
      <w:r w:rsidRPr="00F03C69">
        <w:rPr>
          <w:sz w:val="20"/>
        </w:rPr>
        <w:t>, 2014)</w:t>
      </w:r>
      <w:r>
        <w:rPr>
          <w:sz w:val="20"/>
          <w:szCs w:val="20"/>
        </w:rPr>
        <w:fldChar w:fldCharType="end"/>
      </w:r>
    </w:p>
    <w:p w14:paraId="0ED78DE9" w14:textId="4B21F985" w:rsidR="009222EC" w:rsidRPr="00F03C69" w:rsidRDefault="009222EC" w:rsidP="00B376A9">
      <w:pPr>
        <w:pStyle w:val="ListParagraph"/>
        <w:numPr>
          <w:ilvl w:val="0"/>
          <w:numId w:val="7"/>
        </w:numPr>
        <w:rPr>
          <w:b/>
          <w:sz w:val="20"/>
          <w:szCs w:val="20"/>
        </w:rPr>
      </w:pPr>
      <w:r w:rsidRPr="008D0B1B">
        <w:rPr>
          <w:sz w:val="20"/>
          <w:szCs w:val="20"/>
        </w:rPr>
        <w:t xml:space="preserve">Statistical methods for alpha and beta diversity </w:t>
      </w:r>
    </w:p>
    <w:p w14:paraId="716E397B" w14:textId="16C659A3" w:rsidR="00F03C69" w:rsidRPr="00F03C69" w:rsidRDefault="00F03C69" w:rsidP="00F03C69">
      <w:pPr>
        <w:pStyle w:val="ListParagraph"/>
        <w:numPr>
          <w:ilvl w:val="1"/>
          <w:numId w:val="7"/>
        </w:numPr>
        <w:rPr>
          <w:sz w:val="20"/>
          <w:szCs w:val="20"/>
        </w:rPr>
      </w:pPr>
      <w:r>
        <w:rPr>
          <w:sz w:val="20"/>
          <w:szCs w:val="20"/>
        </w:rPr>
        <w:t xml:space="preserve">Vegan, </w:t>
      </w:r>
      <w:proofErr w:type="spellStart"/>
      <w:r>
        <w:rPr>
          <w:sz w:val="20"/>
          <w:szCs w:val="20"/>
        </w:rPr>
        <w:t>Ecodist</w:t>
      </w:r>
      <w:proofErr w:type="spellEnd"/>
      <w:r>
        <w:rPr>
          <w:sz w:val="20"/>
          <w:szCs w:val="20"/>
        </w:rPr>
        <w:t xml:space="preserve"> packages </w:t>
      </w:r>
      <w:r w:rsidRPr="00F03C69">
        <w:rPr>
          <w:sz w:val="20"/>
          <w:szCs w:val="20"/>
        </w:rPr>
        <w:fldChar w:fldCharType="begin"/>
      </w:r>
      <w:r w:rsidRPr="00F03C69">
        <w:rPr>
          <w:sz w:val="20"/>
          <w:szCs w:val="20"/>
        </w:rPr>
        <w:instrText xml:space="preserve"> ADDIN ZOTERO_ITEM CSL_CITATION {"citationID":"j1CMScoN","properties":{"formattedCitation":"(Goslee &amp; Urban, 2007)","plainCitation":"(Goslee &amp; Urban, 2007)","noteIndex":0},"citationItems":[{"id":373,"uris":["http://zotero.org/users/local/dsI5V9tJ/items/XKUS6QA2"],"uri":["http://zotero.org/users/local/dsI5V9tJ/items/XKUS6QA2"],"itemData":{"id":373,"type":"article-journal","title":"The &lt;b&gt;ecodist&lt;/b&gt; Package for Dissimilarity-based Analysis of Ecological Data","container-title":"Journal of Statistical Software","volume":"22","issue":"7","source":"Crossref","abstract":"Ecologists are concerned with the relationships between species composition and environmental factors, and with spatial structure within those relationships. A dissimilaritybased framework incorporating space explicitly is an extremely ﬂexible tool for answering these questions. The R package ecodist brings together methods for working with dissimilarities, including some not available in other R packages. We present some of the features of ecodist, particularly simple and partial Mantel tests, and make recommendations for their eﬀective use. Although the partial Mantel test is often used to account for the eﬀects of space, the assumption of linearity greatly reduces its eﬀectiveness for complex spatial patterns. We introduce a modiﬁcation of the Mantel correlogram designed to overcome this restriction and allow consideration of complex nonlinear structures. This extension of the method allows the use of partial multivariate correlograms and tests of relationship between variables at diﬀerent spatial scales. Some of the possibilities are demonstrated using both artiﬁcial data and data from an ongoing study of plant community composition in grazinglands of the northeastern United States.","URL":"http://www.jstatsoft.org/v22/i07/","DOI":"10.18637/jss.v022.i07","ISSN":"1548-7660","language":"en","author":[{"family":"Goslee","given":"Sarah C."},{"family":"Urban","given":"Dean L."}],"issued":{"date-parts":[["2007"]]},"accessed":{"date-parts":[["2019",3,4]]}}}],"schema":"https://github.com/citation-style-language/schema/raw/master/csl-citation.json"} </w:instrText>
      </w:r>
      <w:r w:rsidRPr="00F03C69">
        <w:rPr>
          <w:sz w:val="20"/>
          <w:szCs w:val="20"/>
        </w:rPr>
        <w:fldChar w:fldCharType="separate"/>
      </w:r>
      <w:r w:rsidRPr="00F03C69">
        <w:rPr>
          <w:noProof/>
          <w:sz w:val="20"/>
          <w:szCs w:val="20"/>
        </w:rPr>
        <w:t>(Goslee &amp; Urban, 2007)</w:t>
      </w:r>
      <w:r w:rsidRPr="00F03C69">
        <w:rPr>
          <w:sz w:val="20"/>
          <w:szCs w:val="20"/>
        </w:rPr>
        <w:fldChar w:fldCharType="end"/>
      </w:r>
      <w:r>
        <w:rPr>
          <w:sz w:val="20"/>
          <w:szCs w:val="20"/>
        </w:rPr>
        <w:t xml:space="preserve">, </w:t>
      </w:r>
      <w:proofErr w:type="spellStart"/>
      <w:r>
        <w:rPr>
          <w:sz w:val="20"/>
          <w:szCs w:val="20"/>
        </w:rPr>
        <w:t>Okansen</w:t>
      </w:r>
      <w:proofErr w:type="spellEnd"/>
      <w:r>
        <w:rPr>
          <w:sz w:val="20"/>
          <w:szCs w:val="20"/>
        </w:rPr>
        <w:t xml:space="preserve"> 2018</w:t>
      </w:r>
    </w:p>
    <w:p w14:paraId="6E06E4A6" w14:textId="1D1F75EE" w:rsidR="00D722E3" w:rsidRDefault="00D722E3" w:rsidP="00D722E3">
      <w:pPr>
        <w:rPr>
          <w:rFonts w:ascii="Calibri" w:hAnsi="Calibri" w:cs="Calibri"/>
          <w:b/>
        </w:rPr>
      </w:pPr>
      <w:r>
        <w:rPr>
          <w:rFonts w:ascii="Calibri" w:hAnsi="Calibri" w:cs="Calibri"/>
          <w:b/>
        </w:rPr>
        <w:t xml:space="preserve">2.4 | </w:t>
      </w:r>
      <w:r w:rsidRPr="006B4718">
        <w:rPr>
          <w:rFonts w:ascii="Calibri" w:hAnsi="Calibri" w:cs="Calibri"/>
          <w:b/>
        </w:rPr>
        <w:t xml:space="preserve">Microbial Cell Density </w:t>
      </w:r>
      <w:commentRangeStart w:id="9"/>
      <w:r w:rsidRPr="006B4718">
        <w:rPr>
          <w:rFonts w:ascii="Calibri" w:hAnsi="Calibri" w:cs="Calibri"/>
          <w:b/>
        </w:rPr>
        <w:t>Estimates</w:t>
      </w:r>
      <w:commentRangeEnd w:id="9"/>
      <w:r w:rsidR="00E93613">
        <w:rPr>
          <w:rStyle w:val="CommentReference"/>
        </w:rPr>
        <w:commentReference w:id="9"/>
      </w:r>
    </w:p>
    <w:p w14:paraId="352ABE13" w14:textId="6DA47ECF" w:rsidR="00F03C69" w:rsidRPr="00F03C69" w:rsidRDefault="009222EC" w:rsidP="00F03C69">
      <w:pPr>
        <w:pStyle w:val="ListParagraph"/>
        <w:numPr>
          <w:ilvl w:val="0"/>
          <w:numId w:val="8"/>
        </w:numPr>
        <w:rPr>
          <w:b/>
          <w:sz w:val="20"/>
          <w:szCs w:val="20"/>
        </w:rPr>
      </w:pPr>
      <w:r w:rsidRPr="008D0B1B">
        <w:rPr>
          <w:sz w:val="20"/>
          <w:szCs w:val="20"/>
        </w:rPr>
        <w:t xml:space="preserve">To estimate cell densities in biofilm communities, we imaged polished mineral chip samples on a scanning electron microscope (SEM) and manually counted cells from the images. </w:t>
      </w:r>
    </w:p>
    <w:p w14:paraId="2B46EB19" w14:textId="18F6C8E6" w:rsidR="009222EC" w:rsidRPr="008D0B1B" w:rsidRDefault="009222EC" w:rsidP="009222EC">
      <w:pPr>
        <w:pStyle w:val="ListParagraph"/>
        <w:numPr>
          <w:ilvl w:val="0"/>
          <w:numId w:val="8"/>
        </w:numPr>
        <w:rPr>
          <w:b/>
          <w:sz w:val="20"/>
          <w:szCs w:val="20"/>
        </w:rPr>
      </w:pPr>
      <w:r w:rsidRPr="008D0B1B">
        <w:rPr>
          <w:sz w:val="20"/>
          <w:szCs w:val="20"/>
        </w:rPr>
        <w:t>SEM sample prep protocol</w:t>
      </w:r>
    </w:p>
    <w:p w14:paraId="4E85EC95" w14:textId="6EDF6FC7" w:rsidR="009222EC" w:rsidRPr="008D0B1B" w:rsidRDefault="009222EC" w:rsidP="009222EC">
      <w:pPr>
        <w:pStyle w:val="ListParagraph"/>
        <w:numPr>
          <w:ilvl w:val="0"/>
          <w:numId w:val="8"/>
        </w:numPr>
        <w:rPr>
          <w:b/>
          <w:sz w:val="20"/>
          <w:szCs w:val="20"/>
        </w:rPr>
      </w:pPr>
      <w:r w:rsidRPr="008D0B1B">
        <w:rPr>
          <w:sz w:val="20"/>
          <w:szCs w:val="20"/>
        </w:rPr>
        <w:t>SEM specs</w:t>
      </w:r>
    </w:p>
    <w:p w14:paraId="0CD01BD5" w14:textId="1BA5E8D5" w:rsidR="009222EC" w:rsidRPr="008D0B1B" w:rsidRDefault="009222EC" w:rsidP="009222EC">
      <w:pPr>
        <w:pStyle w:val="ListParagraph"/>
        <w:numPr>
          <w:ilvl w:val="0"/>
          <w:numId w:val="8"/>
        </w:numPr>
        <w:rPr>
          <w:b/>
          <w:sz w:val="20"/>
          <w:szCs w:val="20"/>
        </w:rPr>
      </w:pPr>
      <w:r w:rsidRPr="008D0B1B">
        <w:rPr>
          <w:sz w:val="20"/>
          <w:szCs w:val="20"/>
        </w:rPr>
        <w:t>Image protocol (# of images taken per sample, target threshold for minimum cell counts, cell counting rules)</w:t>
      </w:r>
    </w:p>
    <w:p w14:paraId="46E1EE6C" w14:textId="3A838F33" w:rsidR="009222EC" w:rsidRPr="008D0B1B" w:rsidRDefault="009222EC" w:rsidP="009222EC">
      <w:pPr>
        <w:pStyle w:val="ListParagraph"/>
        <w:numPr>
          <w:ilvl w:val="0"/>
          <w:numId w:val="8"/>
        </w:numPr>
        <w:rPr>
          <w:b/>
          <w:sz w:val="20"/>
          <w:szCs w:val="20"/>
        </w:rPr>
      </w:pPr>
      <w:r w:rsidRPr="008D0B1B">
        <w:rPr>
          <w:sz w:val="20"/>
          <w:szCs w:val="20"/>
        </w:rPr>
        <w:t xml:space="preserve">Reference cell counts from </w:t>
      </w:r>
      <w:proofErr w:type="spellStart"/>
      <w:r w:rsidRPr="008D0B1B">
        <w:rPr>
          <w:sz w:val="20"/>
          <w:szCs w:val="20"/>
        </w:rPr>
        <w:t>Osburn</w:t>
      </w:r>
      <w:proofErr w:type="spellEnd"/>
      <w:r w:rsidRPr="008D0B1B">
        <w:rPr>
          <w:sz w:val="20"/>
          <w:szCs w:val="20"/>
        </w:rPr>
        <w:t xml:space="preserve"> 2019 in prep for fluid communities</w:t>
      </w:r>
    </w:p>
    <w:p w14:paraId="7CA6B1B1" w14:textId="032B470C" w:rsidR="00D722E3" w:rsidRDefault="00D722E3" w:rsidP="00D722E3">
      <w:pPr>
        <w:rPr>
          <w:rFonts w:ascii="Calibri" w:hAnsi="Calibri" w:cs="Calibri"/>
          <w:b/>
        </w:rPr>
      </w:pPr>
      <w:r>
        <w:rPr>
          <w:rFonts w:ascii="Calibri" w:hAnsi="Calibri" w:cs="Calibri"/>
          <w:b/>
        </w:rPr>
        <w:t>3 | RESULTS</w:t>
      </w:r>
    </w:p>
    <w:p w14:paraId="4C4BDA31" w14:textId="2B072B8E" w:rsidR="003035A9" w:rsidRPr="00FC73CE" w:rsidRDefault="003035A9" w:rsidP="00027F1E">
      <w:pPr>
        <w:pStyle w:val="ListParagraph"/>
        <w:numPr>
          <w:ilvl w:val="0"/>
          <w:numId w:val="10"/>
        </w:numPr>
        <w:rPr>
          <w:b/>
          <w:sz w:val="20"/>
          <w:szCs w:val="20"/>
        </w:rPr>
      </w:pPr>
      <w:proofErr w:type="spellStart"/>
      <w:r w:rsidRPr="00FC73CE">
        <w:rPr>
          <w:b/>
          <w:sz w:val="20"/>
          <w:szCs w:val="20"/>
        </w:rPr>
        <w:t>Thermo</w:t>
      </w:r>
      <w:proofErr w:type="spellEnd"/>
      <w:r w:rsidRPr="00FC73CE">
        <w:rPr>
          <w:b/>
          <w:sz w:val="20"/>
          <w:szCs w:val="20"/>
        </w:rPr>
        <w:t xml:space="preserve"> modelling</w:t>
      </w:r>
    </w:p>
    <w:p w14:paraId="4D1EAA9F" w14:textId="1A4667FD" w:rsidR="000401DD" w:rsidRDefault="000401DD" w:rsidP="000401DD">
      <w:pPr>
        <w:pStyle w:val="ListParagraph"/>
        <w:numPr>
          <w:ilvl w:val="1"/>
          <w:numId w:val="10"/>
        </w:numPr>
        <w:rPr>
          <w:sz w:val="20"/>
          <w:szCs w:val="20"/>
        </w:rPr>
      </w:pPr>
      <w:r>
        <w:rPr>
          <w:sz w:val="20"/>
          <w:szCs w:val="20"/>
        </w:rPr>
        <w:t>Free energy</w:t>
      </w:r>
    </w:p>
    <w:p w14:paraId="40133498" w14:textId="1A101188" w:rsidR="000401DD" w:rsidRDefault="000401DD" w:rsidP="000401DD">
      <w:pPr>
        <w:pStyle w:val="ListParagraph"/>
        <w:numPr>
          <w:ilvl w:val="2"/>
          <w:numId w:val="10"/>
        </w:numPr>
        <w:rPr>
          <w:sz w:val="20"/>
          <w:szCs w:val="20"/>
        </w:rPr>
      </w:pPr>
      <w:r>
        <w:rPr>
          <w:sz w:val="20"/>
          <w:szCs w:val="20"/>
        </w:rPr>
        <w:t xml:space="preserve">The most exergonic reaction is pyrite + nitrate, then pyrolusite + the more potent e- donors acetate, H2, elemental sulfur, and CH4, followed by siderite + nitrate and the remaining reactions with pyrolusite. The rest of the reactions are either close to zero free energy or endergonic, and pyrolusite is the only mineral type that was consistently exergonic with all e- donors modeled. </w:t>
      </w:r>
    </w:p>
    <w:p w14:paraId="757D3FDB" w14:textId="59B6C91E" w:rsidR="000401DD" w:rsidRDefault="000401DD" w:rsidP="000401DD">
      <w:pPr>
        <w:pStyle w:val="ListParagraph"/>
        <w:numPr>
          <w:ilvl w:val="1"/>
          <w:numId w:val="10"/>
        </w:numPr>
        <w:rPr>
          <w:sz w:val="20"/>
          <w:szCs w:val="20"/>
        </w:rPr>
      </w:pPr>
      <w:r>
        <w:rPr>
          <w:sz w:val="20"/>
          <w:szCs w:val="20"/>
        </w:rPr>
        <w:t>Energy Density</w:t>
      </w:r>
    </w:p>
    <w:p w14:paraId="544E5784" w14:textId="376319A7" w:rsidR="000401DD" w:rsidRDefault="000401DD" w:rsidP="000401DD">
      <w:pPr>
        <w:pStyle w:val="ListParagraph"/>
        <w:numPr>
          <w:ilvl w:val="2"/>
          <w:numId w:val="10"/>
        </w:numPr>
        <w:rPr>
          <w:sz w:val="20"/>
          <w:szCs w:val="20"/>
        </w:rPr>
      </w:pPr>
      <w:r>
        <w:rPr>
          <w:sz w:val="20"/>
          <w:szCs w:val="20"/>
        </w:rPr>
        <w:t xml:space="preserve">Methane and acetate are the most </w:t>
      </w:r>
      <w:r w:rsidR="002D6EC3">
        <w:rPr>
          <w:sz w:val="20"/>
          <w:szCs w:val="20"/>
        </w:rPr>
        <w:t>energy dense</w:t>
      </w:r>
      <w:r>
        <w:rPr>
          <w:sz w:val="20"/>
          <w:szCs w:val="20"/>
        </w:rPr>
        <w:t xml:space="preserve"> dissolved reactants</w:t>
      </w:r>
      <w:r w:rsidR="002D6EC3">
        <w:rPr>
          <w:sz w:val="20"/>
          <w:szCs w:val="20"/>
        </w:rPr>
        <w:t>, while ammonia, Fe2+, and sulfate are moderately dense, and hydrogen and sulfide are least dense of the exergonic reactions.</w:t>
      </w:r>
    </w:p>
    <w:p w14:paraId="6FDBF97A" w14:textId="0E319EDC" w:rsidR="00513D60" w:rsidRDefault="00513D60" w:rsidP="00513D60">
      <w:pPr>
        <w:jc w:val="center"/>
        <w:rPr>
          <w:sz w:val="20"/>
          <w:szCs w:val="20"/>
        </w:rPr>
      </w:pPr>
      <w:r>
        <w:rPr>
          <w:noProof/>
          <w:sz w:val="20"/>
          <w:szCs w:val="20"/>
        </w:rPr>
        <w:drawing>
          <wp:inline distT="0" distB="0" distL="0" distR="0" wp14:anchorId="00547EE7" wp14:editId="04710129">
            <wp:extent cx="4431323" cy="270803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36_Energy_corrected_29Mar2019.pdf"/>
                    <pic:cNvPicPr/>
                  </pic:nvPicPr>
                  <pic:blipFill>
                    <a:blip r:embed="rId8">
                      <a:extLst>
                        <a:ext uri="{28A0092B-C50C-407E-A947-70E740481C1C}">
                          <a14:useLocalDpi xmlns:a14="http://schemas.microsoft.com/office/drawing/2010/main" val="0"/>
                        </a:ext>
                      </a:extLst>
                    </a:blip>
                    <a:stretch>
                      <a:fillRect/>
                    </a:stretch>
                  </pic:blipFill>
                  <pic:spPr>
                    <a:xfrm>
                      <a:off x="0" y="0"/>
                      <a:ext cx="4438845" cy="2712628"/>
                    </a:xfrm>
                    <a:prstGeom prst="rect">
                      <a:avLst/>
                    </a:prstGeom>
                  </pic:spPr>
                </pic:pic>
              </a:graphicData>
            </a:graphic>
          </wp:inline>
        </w:drawing>
      </w:r>
    </w:p>
    <w:p w14:paraId="27D78546" w14:textId="153DC075" w:rsidR="00513D60" w:rsidRDefault="00513D60" w:rsidP="00513D60">
      <w:pPr>
        <w:pStyle w:val="NormalWeb"/>
        <w:spacing w:before="120" w:beforeAutospacing="0" w:after="0" w:afterAutospacing="0"/>
        <w:jc w:val="both"/>
        <w:rPr>
          <w:rFonts w:ascii="TimesNewRomanPSMT" w:hAnsi="TimesNewRomanPSMT"/>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Free energy (left) and energy density (right) of reactions with minerals and dissolved electron donors and acceptors based on </w:t>
      </w:r>
      <w:r w:rsidRPr="008B298C">
        <w:rPr>
          <w:rFonts w:ascii="TimesNewRomanPSMT" w:hAnsi="TimesNewRomanPSMT"/>
          <w:i/>
          <w:color w:val="7F7F7F" w:themeColor="text1" w:themeTint="80"/>
          <w:sz w:val="18"/>
          <w:szCs w:val="18"/>
        </w:rPr>
        <w:t>in situ</w:t>
      </w:r>
      <w:r w:rsidRPr="008B298C">
        <w:rPr>
          <w:rFonts w:ascii="TimesNewRomanPSMT" w:hAnsi="TimesNewRomanPSMT"/>
          <w:color w:val="7F7F7F" w:themeColor="text1" w:themeTint="80"/>
          <w:sz w:val="18"/>
          <w:szCs w:val="18"/>
        </w:rPr>
        <w:t xml:space="preserve"> geochemistry.</w:t>
      </w:r>
      <w:r>
        <w:rPr>
          <w:rFonts w:ascii="TimesNewRomanPSMT" w:hAnsi="TimesNewRomanPSMT"/>
          <w:color w:val="7F7F7F" w:themeColor="text1" w:themeTint="80"/>
          <w:sz w:val="18"/>
          <w:szCs w:val="18"/>
        </w:rPr>
        <w:t xml:space="preserve"> Gaseous phase used for activities of methane and hydrogen.</w:t>
      </w:r>
    </w:p>
    <w:p w14:paraId="20A8124D" w14:textId="77777777" w:rsidR="00513D60" w:rsidRDefault="00513D60" w:rsidP="00513D60">
      <w:pPr>
        <w:jc w:val="center"/>
        <w:rPr>
          <w:sz w:val="20"/>
          <w:szCs w:val="20"/>
        </w:rPr>
      </w:pPr>
    </w:p>
    <w:p w14:paraId="68FB5257" w14:textId="0DD296A5" w:rsidR="00513D60" w:rsidRDefault="00513D60" w:rsidP="00513D60">
      <w:pPr>
        <w:jc w:val="center"/>
        <w:rPr>
          <w:sz w:val="20"/>
          <w:szCs w:val="20"/>
        </w:rPr>
      </w:pPr>
      <w:r>
        <w:rPr>
          <w:noProof/>
          <w:sz w:val="20"/>
          <w:szCs w:val="20"/>
        </w:rPr>
        <w:lastRenderedPageBreak/>
        <w:drawing>
          <wp:inline distT="0" distB="0" distL="0" distR="0" wp14:anchorId="60020DB8" wp14:editId="666EA602">
            <wp:extent cx="3927021" cy="303451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rgy_plot_aqueousGas.pdf"/>
                    <pic:cNvPicPr/>
                  </pic:nvPicPr>
                  <pic:blipFill>
                    <a:blip r:embed="rId9">
                      <a:extLst>
                        <a:ext uri="{28A0092B-C50C-407E-A947-70E740481C1C}">
                          <a14:useLocalDpi xmlns:a14="http://schemas.microsoft.com/office/drawing/2010/main" val="0"/>
                        </a:ext>
                      </a:extLst>
                    </a:blip>
                    <a:stretch>
                      <a:fillRect/>
                    </a:stretch>
                  </pic:blipFill>
                  <pic:spPr>
                    <a:xfrm>
                      <a:off x="0" y="0"/>
                      <a:ext cx="3932958" cy="3039105"/>
                    </a:xfrm>
                    <a:prstGeom prst="rect">
                      <a:avLst/>
                    </a:prstGeom>
                  </pic:spPr>
                </pic:pic>
              </a:graphicData>
            </a:graphic>
          </wp:inline>
        </w:drawing>
      </w:r>
    </w:p>
    <w:p w14:paraId="3BD48399" w14:textId="78DEEC93" w:rsidR="00513D60" w:rsidRDefault="00513D60" w:rsidP="00513D60">
      <w:pPr>
        <w:pStyle w:val="NormalWeb"/>
        <w:spacing w:before="120" w:beforeAutospacing="0" w:after="0" w:afterAutospacing="0"/>
        <w:jc w:val="both"/>
        <w:rPr>
          <w:rFonts w:ascii="TimesNewRomanPSMT" w:hAnsi="TimesNewRomanPSMT"/>
        </w:rPr>
      </w:pPr>
      <w:commentRangeStart w:id="10"/>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Free energy (left) and energy density (right) of reactions with minerals and dissolved electron donors and acceptors based on </w:t>
      </w:r>
      <w:r w:rsidRPr="008B298C">
        <w:rPr>
          <w:rFonts w:ascii="TimesNewRomanPSMT" w:hAnsi="TimesNewRomanPSMT"/>
          <w:i/>
          <w:color w:val="7F7F7F" w:themeColor="text1" w:themeTint="80"/>
          <w:sz w:val="18"/>
          <w:szCs w:val="18"/>
        </w:rPr>
        <w:t>in situ</w:t>
      </w:r>
      <w:r w:rsidRPr="008B298C">
        <w:rPr>
          <w:rFonts w:ascii="TimesNewRomanPSMT" w:hAnsi="TimesNewRomanPSMT"/>
          <w:color w:val="7F7F7F" w:themeColor="text1" w:themeTint="80"/>
          <w:sz w:val="18"/>
          <w:szCs w:val="18"/>
        </w:rPr>
        <w:t xml:space="preserve"> geochemistry.</w:t>
      </w:r>
      <w:r>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Aqueous</w:t>
      </w:r>
      <w:r>
        <w:rPr>
          <w:rFonts w:ascii="TimesNewRomanPSMT" w:hAnsi="TimesNewRomanPSMT"/>
          <w:color w:val="7F7F7F" w:themeColor="text1" w:themeTint="80"/>
          <w:sz w:val="18"/>
          <w:szCs w:val="18"/>
        </w:rPr>
        <w:t xml:space="preserve"> phase used for activities of methane and hydrogen.</w:t>
      </w:r>
      <w:commentRangeEnd w:id="10"/>
      <w:r w:rsidR="00571EA2">
        <w:rPr>
          <w:rStyle w:val="CommentReference"/>
        </w:rPr>
        <w:commentReference w:id="10"/>
      </w:r>
    </w:p>
    <w:p w14:paraId="62E9F229" w14:textId="5A7B00A4" w:rsidR="00513D60" w:rsidRPr="00513D60" w:rsidRDefault="00513D60" w:rsidP="00513D60">
      <w:pPr>
        <w:jc w:val="center"/>
        <w:rPr>
          <w:sz w:val="20"/>
          <w:szCs w:val="20"/>
        </w:rPr>
      </w:pPr>
    </w:p>
    <w:p w14:paraId="79D28833" w14:textId="5B5E50BA" w:rsidR="00027F1E" w:rsidRPr="00FC73CE" w:rsidRDefault="00027F1E" w:rsidP="00027F1E">
      <w:pPr>
        <w:pStyle w:val="ListParagraph"/>
        <w:numPr>
          <w:ilvl w:val="0"/>
          <w:numId w:val="10"/>
        </w:numPr>
        <w:rPr>
          <w:b/>
          <w:sz w:val="20"/>
          <w:szCs w:val="20"/>
        </w:rPr>
      </w:pPr>
      <w:r w:rsidRPr="00FC73CE">
        <w:rPr>
          <w:b/>
          <w:sz w:val="20"/>
          <w:szCs w:val="20"/>
        </w:rPr>
        <w:t>Alpha diversity</w:t>
      </w:r>
    </w:p>
    <w:p w14:paraId="2437EFFA" w14:textId="7D1697AD" w:rsidR="00027F1E" w:rsidRDefault="00027F1E" w:rsidP="00027F1E">
      <w:pPr>
        <w:pStyle w:val="ListParagraph"/>
        <w:numPr>
          <w:ilvl w:val="1"/>
          <w:numId w:val="10"/>
        </w:numPr>
        <w:rPr>
          <w:sz w:val="20"/>
          <w:szCs w:val="20"/>
        </w:rPr>
      </w:pPr>
      <w:r>
        <w:rPr>
          <w:sz w:val="20"/>
          <w:szCs w:val="20"/>
        </w:rPr>
        <w:t xml:space="preserve">rarefaction curves show that the sequencing depth we used for normalization captures the bulk of diversity from each community, although some communities, especially DeMMO1 fluids, are </w:t>
      </w:r>
      <w:proofErr w:type="spellStart"/>
      <w:r>
        <w:rPr>
          <w:sz w:val="20"/>
          <w:szCs w:val="20"/>
        </w:rPr>
        <w:t>undersampled</w:t>
      </w:r>
      <w:proofErr w:type="spellEnd"/>
      <w:r>
        <w:rPr>
          <w:sz w:val="20"/>
          <w:szCs w:val="20"/>
        </w:rPr>
        <w:t xml:space="preserve">. </w:t>
      </w:r>
    </w:p>
    <w:p w14:paraId="2E513CD3" w14:textId="43F58D29" w:rsidR="00D722E3" w:rsidRDefault="00C460D9" w:rsidP="00027F1E">
      <w:pPr>
        <w:pStyle w:val="ListParagraph"/>
        <w:numPr>
          <w:ilvl w:val="1"/>
          <w:numId w:val="10"/>
        </w:numPr>
        <w:rPr>
          <w:sz w:val="20"/>
          <w:szCs w:val="20"/>
        </w:rPr>
      </w:pPr>
      <w:r>
        <w:rPr>
          <w:sz w:val="20"/>
          <w:szCs w:val="20"/>
        </w:rPr>
        <w:t xml:space="preserve">Describe diversity in terms of </w:t>
      </w:r>
      <w:r w:rsidR="00027F1E">
        <w:rPr>
          <w:sz w:val="20"/>
          <w:szCs w:val="20"/>
        </w:rPr>
        <w:t xml:space="preserve"># of observed OTUs at normalized sequencing depth </w:t>
      </w:r>
    </w:p>
    <w:p w14:paraId="3E35369C" w14:textId="77082AD5" w:rsidR="00C460D9" w:rsidRDefault="00C460D9" w:rsidP="00C460D9">
      <w:pPr>
        <w:pStyle w:val="ListParagraph"/>
        <w:numPr>
          <w:ilvl w:val="2"/>
          <w:numId w:val="10"/>
        </w:numPr>
        <w:rPr>
          <w:sz w:val="20"/>
          <w:szCs w:val="20"/>
        </w:rPr>
      </w:pPr>
      <w:r>
        <w:rPr>
          <w:sz w:val="20"/>
          <w:szCs w:val="20"/>
        </w:rPr>
        <w:t>In descending order of most diverse: D1 fluids, D3 fluids, D1 + 3 biofilms on minerals, D1+3 biofilms on controls, D6 fluids, D6 biofilms on minerals, D6 biofilms on controls, ambient controls have huge range in diversity</w:t>
      </w:r>
    </w:p>
    <w:p w14:paraId="47BCBFDE" w14:textId="77777777" w:rsidR="00E17097" w:rsidRPr="00E17097" w:rsidRDefault="00E17097" w:rsidP="00E17097">
      <w:pPr>
        <w:spacing w:before="120" w:line="276" w:lineRule="auto"/>
        <w:jc w:val="center"/>
        <w:rPr>
          <w:rFonts w:ascii="Calibri" w:hAnsi="Calibri" w:cs="Calibri"/>
          <w:b/>
          <w:sz w:val="22"/>
          <w:szCs w:val="22"/>
        </w:rPr>
      </w:pPr>
      <w:r>
        <w:rPr>
          <w:noProof/>
        </w:rPr>
        <w:drawing>
          <wp:inline distT="0" distB="0" distL="0" distR="0" wp14:anchorId="01FF1946" wp14:editId="320C2070">
            <wp:extent cx="4435231" cy="27104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refaction plot_noLabels.pdf"/>
                    <pic:cNvPicPr/>
                  </pic:nvPicPr>
                  <pic:blipFill>
                    <a:blip r:embed="rId10">
                      <a:extLst>
                        <a:ext uri="{28A0092B-C50C-407E-A947-70E740481C1C}">
                          <a14:useLocalDpi xmlns:a14="http://schemas.microsoft.com/office/drawing/2010/main" val="0"/>
                        </a:ext>
                      </a:extLst>
                    </a:blip>
                    <a:stretch>
                      <a:fillRect/>
                    </a:stretch>
                  </pic:blipFill>
                  <pic:spPr>
                    <a:xfrm>
                      <a:off x="0" y="0"/>
                      <a:ext cx="4443711" cy="2715601"/>
                    </a:xfrm>
                    <a:prstGeom prst="rect">
                      <a:avLst/>
                    </a:prstGeom>
                  </pic:spPr>
                </pic:pic>
              </a:graphicData>
            </a:graphic>
          </wp:inline>
        </w:drawing>
      </w:r>
    </w:p>
    <w:p w14:paraId="2F198B3B" w14:textId="27CDE55F" w:rsidR="00E17097" w:rsidRDefault="00E17097" w:rsidP="00E17097">
      <w:pPr>
        <w:spacing w:before="120" w:line="276" w:lineRule="auto"/>
        <w:jc w:val="both"/>
        <w:rPr>
          <w:rFonts w:ascii="TimesNewRomanPSMT" w:hAnsi="TimesNewRomanPSMT"/>
          <w:color w:val="7F7F7F" w:themeColor="text1" w:themeTint="80"/>
          <w:sz w:val="18"/>
          <w:szCs w:val="18"/>
        </w:rPr>
      </w:pPr>
      <w:commentRangeStart w:id="11"/>
      <w:r w:rsidRPr="00E17097">
        <w:rPr>
          <w:rFonts w:ascii="TimesNewRomanPSMT" w:hAnsi="TimesNewRomanPSMT"/>
          <w:b/>
          <w:color w:val="7F7F7F" w:themeColor="text1" w:themeTint="80"/>
          <w:sz w:val="18"/>
          <w:szCs w:val="18"/>
        </w:rPr>
        <w:t>Figure x.</w:t>
      </w:r>
      <w:r w:rsidRPr="00E17097">
        <w:rPr>
          <w:rFonts w:ascii="TimesNewRomanPSMT" w:hAnsi="TimesNewRomanPSMT"/>
          <w:color w:val="7F7F7F" w:themeColor="text1" w:themeTint="80"/>
          <w:sz w:val="18"/>
          <w:szCs w:val="18"/>
        </w:rPr>
        <w:t xml:space="preserve"> Alpha diversity of </w:t>
      </w:r>
      <w:proofErr w:type="spellStart"/>
      <w:r w:rsidRPr="00E17097">
        <w:rPr>
          <w:rFonts w:ascii="TimesNewRomanPSMT" w:hAnsi="TimesNewRomanPSMT"/>
          <w:color w:val="7F7F7F" w:themeColor="text1" w:themeTint="80"/>
          <w:sz w:val="18"/>
          <w:szCs w:val="18"/>
        </w:rPr>
        <w:t>DeMMO</w:t>
      </w:r>
      <w:proofErr w:type="spellEnd"/>
      <w:r w:rsidRPr="00E17097">
        <w:rPr>
          <w:rFonts w:ascii="TimesNewRomanPSMT" w:hAnsi="TimesNewRomanPSMT"/>
          <w:color w:val="7F7F7F" w:themeColor="text1" w:themeTint="80"/>
          <w:sz w:val="18"/>
          <w:szCs w:val="18"/>
        </w:rPr>
        <w:t xml:space="preserve"> communities. Rarefaction curves illustrate the number of OTU observations across a range of sequencing depths.  </w:t>
      </w:r>
      <w:commentRangeEnd w:id="11"/>
      <w:r w:rsidR="00BC311F">
        <w:rPr>
          <w:rStyle w:val="CommentReference"/>
        </w:rPr>
        <w:commentReference w:id="11"/>
      </w:r>
    </w:p>
    <w:p w14:paraId="146B3657" w14:textId="77777777" w:rsidR="00E17097" w:rsidRDefault="00E17097" w:rsidP="00E17097">
      <w:pPr>
        <w:spacing w:before="120" w:line="276" w:lineRule="auto"/>
        <w:jc w:val="center"/>
        <w:rPr>
          <w:rFonts w:ascii="TimesNewRomanPSMT" w:hAnsi="TimesNewRomanPSMT"/>
          <w:sz w:val="22"/>
          <w:szCs w:val="22"/>
        </w:rPr>
      </w:pPr>
      <w:r>
        <w:rPr>
          <w:rFonts w:ascii="TimesNewRomanPSMT" w:hAnsi="TimesNewRomanPSMT"/>
          <w:noProof/>
          <w:sz w:val="22"/>
          <w:szCs w:val="22"/>
        </w:rPr>
        <w:lastRenderedPageBreak/>
        <w:drawing>
          <wp:inline distT="0" distB="0" distL="0" distR="0" wp14:anchorId="31B69049" wp14:editId="47CAE679">
            <wp:extent cx="3133969" cy="1915203"/>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versity.violin.plot.pdf"/>
                    <pic:cNvPicPr/>
                  </pic:nvPicPr>
                  <pic:blipFill>
                    <a:blip r:embed="rId11">
                      <a:extLst>
                        <a:ext uri="{28A0092B-C50C-407E-A947-70E740481C1C}">
                          <a14:useLocalDpi xmlns:a14="http://schemas.microsoft.com/office/drawing/2010/main" val="0"/>
                        </a:ext>
                      </a:extLst>
                    </a:blip>
                    <a:stretch>
                      <a:fillRect/>
                    </a:stretch>
                  </pic:blipFill>
                  <pic:spPr>
                    <a:xfrm>
                      <a:off x="0" y="0"/>
                      <a:ext cx="3141133" cy="1919581"/>
                    </a:xfrm>
                    <a:prstGeom prst="rect">
                      <a:avLst/>
                    </a:prstGeom>
                  </pic:spPr>
                </pic:pic>
              </a:graphicData>
            </a:graphic>
          </wp:inline>
        </w:drawing>
      </w:r>
    </w:p>
    <w:p w14:paraId="20E53692" w14:textId="5DE2BD81" w:rsidR="00E17097" w:rsidRDefault="00E17097" w:rsidP="00E17097">
      <w:pPr>
        <w:spacing w:before="120" w:line="276" w:lineRule="auto"/>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OTU abundance at a rarefaction sequence depth of 3,910.</w:t>
      </w:r>
    </w:p>
    <w:p w14:paraId="5E8CE5DD" w14:textId="400A2883" w:rsidR="00A84178" w:rsidRDefault="00A84178" w:rsidP="00A84178">
      <w:pPr>
        <w:spacing w:before="120" w:line="276" w:lineRule="auto"/>
        <w:jc w:val="center"/>
        <w:rPr>
          <w:rFonts w:ascii="Calibri" w:hAnsi="Calibri" w:cs="Calibri"/>
          <w:b/>
          <w:sz w:val="22"/>
          <w:szCs w:val="22"/>
        </w:rPr>
      </w:pPr>
      <w:r>
        <w:rPr>
          <w:rFonts w:ascii="Calibri" w:hAnsi="Calibri" w:cs="Calibri"/>
          <w:b/>
          <w:noProof/>
          <w:sz w:val="22"/>
          <w:szCs w:val="22"/>
        </w:rPr>
        <w:drawing>
          <wp:inline distT="0" distB="0" distL="0" distR="0" wp14:anchorId="60254870" wp14:editId="1B3D92E6">
            <wp:extent cx="2969847" cy="2294968"/>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pha.div.d10000.pdf"/>
                    <pic:cNvPicPr/>
                  </pic:nvPicPr>
                  <pic:blipFill>
                    <a:blip r:embed="rId12">
                      <a:extLst>
                        <a:ext uri="{28A0092B-C50C-407E-A947-70E740481C1C}">
                          <a14:useLocalDpi xmlns:a14="http://schemas.microsoft.com/office/drawing/2010/main" val="0"/>
                        </a:ext>
                      </a:extLst>
                    </a:blip>
                    <a:stretch>
                      <a:fillRect/>
                    </a:stretch>
                  </pic:blipFill>
                  <pic:spPr>
                    <a:xfrm>
                      <a:off x="0" y="0"/>
                      <a:ext cx="2976870" cy="2300395"/>
                    </a:xfrm>
                    <a:prstGeom prst="rect">
                      <a:avLst/>
                    </a:prstGeom>
                  </pic:spPr>
                </pic:pic>
              </a:graphicData>
            </a:graphic>
          </wp:inline>
        </w:drawing>
      </w:r>
    </w:p>
    <w:p w14:paraId="60C10560" w14:textId="6C6A59E1" w:rsidR="00A84178" w:rsidRPr="00A84178" w:rsidRDefault="00A84178" w:rsidP="00A84178">
      <w:pPr>
        <w:spacing w:before="120" w:line="276" w:lineRule="auto"/>
        <w:jc w:val="both"/>
        <w:rPr>
          <w:rFonts w:ascii="TimesNewRomanPSMT" w:hAnsi="TimesNewRomanPSMT"/>
          <w:color w:val="7F7F7F" w:themeColor="text1" w:themeTint="80"/>
          <w:sz w:val="18"/>
          <w:szCs w:val="18"/>
        </w:rPr>
      </w:pPr>
      <w:commentRangeStart w:id="12"/>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OTU abundance at a rarefaction sequence depth of </w:t>
      </w:r>
      <w:r w:rsidR="00F26895">
        <w:rPr>
          <w:rFonts w:ascii="TimesNewRomanPSMT" w:hAnsi="TimesNewRomanPSMT"/>
          <w:color w:val="7F7F7F" w:themeColor="text1" w:themeTint="80"/>
          <w:sz w:val="18"/>
          <w:szCs w:val="18"/>
        </w:rPr>
        <w:t>9.760</w:t>
      </w:r>
      <w:r>
        <w:rPr>
          <w:rFonts w:ascii="TimesNewRomanPSMT" w:hAnsi="TimesNewRomanPSMT"/>
          <w:color w:val="7F7F7F" w:themeColor="text1" w:themeTint="80"/>
          <w:sz w:val="18"/>
          <w:szCs w:val="18"/>
        </w:rPr>
        <w:t>.</w:t>
      </w:r>
      <w:r w:rsidR="00F26895">
        <w:rPr>
          <w:rFonts w:ascii="TimesNewRomanPSMT" w:hAnsi="TimesNewRomanPSMT"/>
          <w:color w:val="7F7F7F" w:themeColor="text1" w:themeTint="80"/>
          <w:sz w:val="18"/>
          <w:szCs w:val="18"/>
        </w:rPr>
        <w:t xml:space="preserve"> </w:t>
      </w:r>
      <w:commentRangeEnd w:id="12"/>
      <w:r w:rsidR="00571EA2">
        <w:rPr>
          <w:rStyle w:val="CommentReference"/>
        </w:rPr>
        <w:commentReference w:id="12"/>
      </w:r>
    </w:p>
    <w:p w14:paraId="0F603740" w14:textId="77777777" w:rsidR="00E17097" w:rsidRPr="00E17097" w:rsidRDefault="00E17097" w:rsidP="00E17097">
      <w:pPr>
        <w:rPr>
          <w:sz w:val="20"/>
          <w:szCs w:val="20"/>
        </w:rPr>
      </w:pPr>
    </w:p>
    <w:p w14:paraId="082EFB8E" w14:textId="515ABB6F" w:rsidR="00027F1E" w:rsidRPr="00FC73CE" w:rsidRDefault="00027F1E" w:rsidP="00027F1E">
      <w:pPr>
        <w:pStyle w:val="ListParagraph"/>
        <w:numPr>
          <w:ilvl w:val="0"/>
          <w:numId w:val="10"/>
        </w:numPr>
        <w:rPr>
          <w:b/>
          <w:sz w:val="20"/>
          <w:szCs w:val="20"/>
        </w:rPr>
      </w:pPr>
      <w:r w:rsidRPr="00FC73CE">
        <w:rPr>
          <w:b/>
          <w:sz w:val="20"/>
          <w:szCs w:val="20"/>
        </w:rPr>
        <w:t>Beta Diversity</w:t>
      </w:r>
    </w:p>
    <w:p w14:paraId="20D56073" w14:textId="6FA8489A" w:rsidR="00C460D9" w:rsidRDefault="00C460D9" w:rsidP="00C460D9">
      <w:pPr>
        <w:pStyle w:val="ListParagraph"/>
        <w:numPr>
          <w:ilvl w:val="1"/>
          <w:numId w:val="10"/>
        </w:numPr>
        <w:rPr>
          <w:sz w:val="20"/>
          <w:szCs w:val="20"/>
        </w:rPr>
      </w:pPr>
      <w:r>
        <w:rPr>
          <w:sz w:val="20"/>
          <w:szCs w:val="20"/>
        </w:rPr>
        <w:t xml:space="preserve">Dendrogram </w:t>
      </w:r>
      <w:proofErr w:type="spellStart"/>
      <w:r>
        <w:rPr>
          <w:sz w:val="20"/>
          <w:szCs w:val="20"/>
        </w:rPr>
        <w:t>barplot</w:t>
      </w:r>
      <w:proofErr w:type="spellEnd"/>
      <w:r>
        <w:rPr>
          <w:sz w:val="20"/>
          <w:szCs w:val="20"/>
        </w:rPr>
        <w:t xml:space="preserve"> figure showing selected communities to illustrate </w:t>
      </w:r>
      <w:r w:rsidR="00B90647">
        <w:rPr>
          <w:sz w:val="20"/>
          <w:szCs w:val="20"/>
        </w:rPr>
        <w:t xml:space="preserve">composition, binning low abundance taxa for plot simplification (supplementary data to include all taxa). </w:t>
      </w:r>
    </w:p>
    <w:p w14:paraId="5E18993F" w14:textId="71C7A39E" w:rsidR="00F025D6" w:rsidRDefault="00F025D6" w:rsidP="00F025D6">
      <w:pPr>
        <w:pStyle w:val="ListParagraph"/>
        <w:numPr>
          <w:ilvl w:val="2"/>
          <w:numId w:val="10"/>
        </w:numPr>
        <w:rPr>
          <w:sz w:val="20"/>
          <w:szCs w:val="20"/>
        </w:rPr>
      </w:pPr>
      <w:proofErr w:type="spellStart"/>
      <w:r>
        <w:rPr>
          <w:sz w:val="20"/>
          <w:szCs w:val="20"/>
        </w:rPr>
        <w:t>Desulfobulbaceae</w:t>
      </w:r>
      <w:proofErr w:type="spellEnd"/>
      <w:r>
        <w:rPr>
          <w:sz w:val="20"/>
          <w:szCs w:val="20"/>
        </w:rPr>
        <w:t xml:space="preserve"> abundant in D1pyrite, D3 and D6 pyrolusite, D3 hematite </w:t>
      </w:r>
    </w:p>
    <w:p w14:paraId="25F62931" w14:textId="0E306EEE" w:rsidR="00F025D6" w:rsidRDefault="00F025D6" w:rsidP="00F025D6">
      <w:pPr>
        <w:pStyle w:val="ListParagraph"/>
        <w:numPr>
          <w:ilvl w:val="2"/>
          <w:numId w:val="10"/>
        </w:numPr>
        <w:rPr>
          <w:sz w:val="20"/>
          <w:szCs w:val="20"/>
        </w:rPr>
      </w:pPr>
      <w:proofErr w:type="spellStart"/>
      <w:r>
        <w:rPr>
          <w:sz w:val="20"/>
          <w:szCs w:val="20"/>
        </w:rPr>
        <w:t>Thermodesulfovibrionia</w:t>
      </w:r>
      <w:proofErr w:type="spellEnd"/>
      <w:r>
        <w:rPr>
          <w:sz w:val="20"/>
          <w:szCs w:val="20"/>
        </w:rPr>
        <w:t xml:space="preserve"> abundant in D1 pyrolusite</w:t>
      </w:r>
    </w:p>
    <w:p w14:paraId="229B744C" w14:textId="5E91B84D" w:rsidR="00F025D6" w:rsidRDefault="00F025D6" w:rsidP="00F025D6">
      <w:pPr>
        <w:pStyle w:val="ListParagraph"/>
        <w:numPr>
          <w:ilvl w:val="2"/>
          <w:numId w:val="10"/>
        </w:numPr>
        <w:rPr>
          <w:sz w:val="20"/>
          <w:szCs w:val="20"/>
        </w:rPr>
      </w:pPr>
      <w:proofErr w:type="spellStart"/>
      <w:r>
        <w:rPr>
          <w:sz w:val="20"/>
          <w:szCs w:val="20"/>
        </w:rPr>
        <w:t>Omnitrophica</w:t>
      </w:r>
      <w:proofErr w:type="spellEnd"/>
      <w:r>
        <w:rPr>
          <w:sz w:val="20"/>
          <w:szCs w:val="20"/>
        </w:rPr>
        <w:t xml:space="preserve"> abundant in D1 and D6 fluids, but not in any biofilms</w:t>
      </w:r>
    </w:p>
    <w:p w14:paraId="1758507F" w14:textId="10225431" w:rsidR="00F025D6" w:rsidRDefault="00F025D6" w:rsidP="00F025D6">
      <w:pPr>
        <w:pStyle w:val="ListParagraph"/>
        <w:numPr>
          <w:ilvl w:val="2"/>
          <w:numId w:val="10"/>
        </w:numPr>
        <w:rPr>
          <w:sz w:val="20"/>
          <w:szCs w:val="20"/>
        </w:rPr>
      </w:pPr>
      <w:proofErr w:type="spellStart"/>
      <w:r>
        <w:rPr>
          <w:sz w:val="20"/>
          <w:szCs w:val="20"/>
        </w:rPr>
        <w:t>Rhodocyclaceae</w:t>
      </w:r>
      <w:proofErr w:type="spellEnd"/>
      <w:r>
        <w:rPr>
          <w:sz w:val="20"/>
          <w:szCs w:val="20"/>
        </w:rPr>
        <w:t xml:space="preserve"> abundant in D3 </w:t>
      </w:r>
      <w:r>
        <w:rPr>
          <w:sz w:val="20"/>
          <w:szCs w:val="20"/>
        </w:rPr>
        <w:t xml:space="preserve">siderite + gypsum </w:t>
      </w:r>
      <w:r>
        <w:rPr>
          <w:sz w:val="20"/>
          <w:szCs w:val="20"/>
        </w:rPr>
        <w:t>and D1 sand</w:t>
      </w:r>
    </w:p>
    <w:p w14:paraId="10048756" w14:textId="70AA4A3E" w:rsidR="00F025D6" w:rsidRDefault="00F025D6" w:rsidP="00F025D6">
      <w:pPr>
        <w:pStyle w:val="ListParagraph"/>
        <w:numPr>
          <w:ilvl w:val="2"/>
          <w:numId w:val="10"/>
        </w:numPr>
        <w:rPr>
          <w:sz w:val="20"/>
          <w:szCs w:val="20"/>
        </w:rPr>
      </w:pPr>
      <w:proofErr w:type="spellStart"/>
      <w:r>
        <w:rPr>
          <w:sz w:val="20"/>
          <w:szCs w:val="20"/>
        </w:rPr>
        <w:t>Alphaproteobacterium</w:t>
      </w:r>
      <w:proofErr w:type="spellEnd"/>
      <w:r>
        <w:rPr>
          <w:sz w:val="20"/>
          <w:szCs w:val="20"/>
        </w:rPr>
        <w:t xml:space="preserve"> (Other) abundant on D3 muscovite </w:t>
      </w:r>
    </w:p>
    <w:p w14:paraId="4FEF16D9" w14:textId="2F83CD5A" w:rsidR="00F025D6" w:rsidRPr="00F025D6" w:rsidRDefault="00F025D6" w:rsidP="00F025D6">
      <w:pPr>
        <w:pStyle w:val="ListParagraph"/>
        <w:numPr>
          <w:ilvl w:val="2"/>
          <w:numId w:val="10"/>
        </w:numPr>
        <w:rPr>
          <w:sz w:val="20"/>
          <w:szCs w:val="20"/>
        </w:rPr>
      </w:pPr>
      <w:r>
        <w:rPr>
          <w:sz w:val="20"/>
          <w:szCs w:val="20"/>
        </w:rPr>
        <w:t xml:space="preserve">Other taxa have similar abundances in both fluids and biofilms  </w:t>
      </w:r>
    </w:p>
    <w:p w14:paraId="792B6EE6" w14:textId="6E69BD40" w:rsidR="00B90647" w:rsidRDefault="00B90647" w:rsidP="00C460D9">
      <w:pPr>
        <w:pStyle w:val="ListParagraph"/>
        <w:numPr>
          <w:ilvl w:val="1"/>
          <w:numId w:val="10"/>
        </w:numPr>
        <w:rPr>
          <w:sz w:val="20"/>
          <w:szCs w:val="20"/>
        </w:rPr>
      </w:pPr>
      <w:r>
        <w:rPr>
          <w:sz w:val="20"/>
          <w:szCs w:val="20"/>
        </w:rPr>
        <w:t xml:space="preserve">NMDS plot of communities with vectors for each family colored by phylum illustrating contribution of each family to the ordination and how distinct each site is in terms of taxonomic composition and from ambient background </w:t>
      </w:r>
      <w:r w:rsidR="004D0848">
        <w:rPr>
          <w:sz w:val="20"/>
          <w:szCs w:val="20"/>
        </w:rPr>
        <w:t>controls</w:t>
      </w:r>
    </w:p>
    <w:p w14:paraId="4D825681" w14:textId="7F8DBF2E" w:rsidR="00F025D6" w:rsidRDefault="00F025D6" w:rsidP="00F025D6">
      <w:pPr>
        <w:pStyle w:val="ListParagraph"/>
        <w:numPr>
          <w:ilvl w:val="2"/>
          <w:numId w:val="10"/>
        </w:numPr>
        <w:rPr>
          <w:sz w:val="20"/>
          <w:szCs w:val="20"/>
        </w:rPr>
      </w:pPr>
      <w:commentRangeStart w:id="13"/>
      <w:r>
        <w:rPr>
          <w:sz w:val="20"/>
          <w:szCs w:val="20"/>
        </w:rPr>
        <w:t>D</w:t>
      </w:r>
      <w:r>
        <w:rPr>
          <w:sz w:val="20"/>
          <w:szCs w:val="20"/>
        </w:rPr>
        <w:t>1 and D3 biofilm</w:t>
      </w:r>
      <w:r>
        <w:rPr>
          <w:sz w:val="20"/>
          <w:szCs w:val="20"/>
        </w:rPr>
        <w:t xml:space="preserve"> communities: Significant contribution to ordination from</w:t>
      </w:r>
      <w:r>
        <w:rPr>
          <w:sz w:val="20"/>
          <w:szCs w:val="20"/>
        </w:rPr>
        <w:t xml:space="preserve"> </w:t>
      </w:r>
      <w:proofErr w:type="spellStart"/>
      <w:r>
        <w:rPr>
          <w:sz w:val="20"/>
          <w:szCs w:val="20"/>
        </w:rPr>
        <w:t>Bacteriodetes</w:t>
      </w:r>
      <w:proofErr w:type="spellEnd"/>
      <w:r>
        <w:rPr>
          <w:sz w:val="20"/>
          <w:szCs w:val="20"/>
        </w:rPr>
        <w:t xml:space="preserve">, </w:t>
      </w:r>
      <w:proofErr w:type="spellStart"/>
      <w:r>
        <w:rPr>
          <w:sz w:val="20"/>
          <w:szCs w:val="20"/>
        </w:rPr>
        <w:t>Chloroflexi</w:t>
      </w:r>
      <w:proofErr w:type="spellEnd"/>
      <w:r>
        <w:rPr>
          <w:sz w:val="20"/>
          <w:szCs w:val="20"/>
        </w:rPr>
        <w:t xml:space="preserve">, </w:t>
      </w:r>
      <w:proofErr w:type="spellStart"/>
      <w:r>
        <w:rPr>
          <w:sz w:val="20"/>
          <w:szCs w:val="20"/>
        </w:rPr>
        <w:t>Latescibacteria</w:t>
      </w:r>
      <w:proofErr w:type="spellEnd"/>
      <w:r>
        <w:rPr>
          <w:sz w:val="20"/>
          <w:szCs w:val="20"/>
        </w:rPr>
        <w:t xml:space="preserve">, Betaproteobacteria, WOR-1, </w:t>
      </w:r>
      <w:proofErr w:type="spellStart"/>
      <w:r>
        <w:rPr>
          <w:sz w:val="20"/>
          <w:szCs w:val="20"/>
        </w:rPr>
        <w:t>Nitrospirae</w:t>
      </w:r>
      <w:proofErr w:type="spellEnd"/>
      <w:r>
        <w:rPr>
          <w:sz w:val="20"/>
          <w:szCs w:val="20"/>
        </w:rPr>
        <w:t>, Actinobacteria</w:t>
      </w:r>
    </w:p>
    <w:p w14:paraId="7BEC4463" w14:textId="41E918A9" w:rsidR="00F025D6" w:rsidRPr="00F025D6" w:rsidRDefault="00F025D6" w:rsidP="00F025D6">
      <w:pPr>
        <w:pStyle w:val="ListParagraph"/>
        <w:numPr>
          <w:ilvl w:val="2"/>
          <w:numId w:val="10"/>
        </w:numPr>
        <w:rPr>
          <w:sz w:val="20"/>
          <w:szCs w:val="20"/>
        </w:rPr>
      </w:pPr>
      <w:r>
        <w:rPr>
          <w:sz w:val="20"/>
          <w:szCs w:val="20"/>
        </w:rPr>
        <w:t xml:space="preserve">D1 and D3 fluids: </w:t>
      </w:r>
      <w:proofErr w:type="spellStart"/>
      <w:r>
        <w:rPr>
          <w:sz w:val="20"/>
          <w:szCs w:val="20"/>
        </w:rPr>
        <w:t>Diapherotrites</w:t>
      </w:r>
      <w:proofErr w:type="spellEnd"/>
      <w:r>
        <w:rPr>
          <w:sz w:val="20"/>
          <w:szCs w:val="20"/>
        </w:rPr>
        <w:t xml:space="preserve">, Unassigned, </w:t>
      </w:r>
      <w:proofErr w:type="spellStart"/>
      <w:r>
        <w:rPr>
          <w:sz w:val="20"/>
          <w:szCs w:val="20"/>
        </w:rPr>
        <w:t>Patescibacteria</w:t>
      </w:r>
      <w:proofErr w:type="spellEnd"/>
      <w:r>
        <w:rPr>
          <w:sz w:val="20"/>
          <w:szCs w:val="20"/>
        </w:rPr>
        <w:t>, Deltaproteobacteria</w:t>
      </w:r>
    </w:p>
    <w:p w14:paraId="286AEABB" w14:textId="38F249A5" w:rsidR="00F025D6" w:rsidRPr="00F025D6" w:rsidRDefault="00F025D6" w:rsidP="00F025D6">
      <w:pPr>
        <w:pStyle w:val="ListParagraph"/>
        <w:numPr>
          <w:ilvl w:val="2"/>
          <w:numId w:val="10"/>
        </w:numPr>
        <w:rPr>
          <w:sz w:val="20"/>
          <w:szCs w:val="20"/>
        </w:rPr>
      </w:pPr>
      <w:r>
        <w:rPr>
          <w:sz w:val="20"/>
          <w:szCs w:val="20"/>
        </w:rPr>
        <w:t xml:space="preserve">D6 communities: Significant contribution to ordination from Firmicutes, </w:t>
      </w:r>
      <w:proofErr w:type="spellStart"/>
      <w:r>
        <w:rPr>
          <w:sz w:val="20"/>
          <w:szCs w:val="20"/>
        </w:rPr>
        <w:t>Chloroflexi</w:t>
      </w:r>
      <w:proofErr w:type="spellEnd"/>
      <w:r>
        <w:rPr>
          <w:sz w:val="20"/>
          <w:szCs w:val="20"/>
        </w:rPr>
        <w:t xml:space="preserve">, </w:t>
      </w:r>
      <w:proofErr w:type="spellStart"/>
      <w:r>
        <w:rPr>
          <w:sz w:val="20"/>
          <w:szCs w:val="20"/>
        </w:rPr>
        <w:t>Acetothermia</w:t>
      </w:r>
      <w:proofErr w:type="spellEnd"/>
      <w:r>
        <w:rPr>
          <w:sz w:val="20"/>
          <w:szCs w:val="20"/>
        </w:rPr>
        <w:t xml:space="preserve">, </w:t>
      </w:r>
      <w:proofErr w:type="spellStart"/>
      <w:r>
        <w:rPr>
          <w:sz w:val="20"/>
          <w:szCs w:val="20"/>
        </w:rPr>
        <w:t>Patescibacteria</w:t>
      </w:r>
      <w:proofErr w:type="spellEnd"/>
      <w:r>
        <w:rPr>
          <w:sz w:val="20"/>
          <w:szCs w:val="20"/>
        </w:rPr>
        <w:t xml:space="preserve">, </w:t>
      </w:r>
      <w:proofErr w:type="spellStart"/>
      <w:r>
        <w:rPr>
          <w:sz w:val="20"/>
          <w:szCs w:val="20"/>
        </w:rPr>
        <w:t>Tenerecutes</w:t>
      </w:r>
      <w:proofErr w:type="spellEnd"/>
      <w:r>
        <w:rPr>
          <w:sz w:val="20"/>
          <w:szCs w:val="20"/>
        </w:rPr>
        <w:t>, Deltaproteobacteria</w:t>
      </w:r>
      <w:commentRangeEnd w:id="13"/>
      <w:r>
        <w:rPr>
          <w:rStyle w:val="CommentReference"/>
        </w:rPr>
        <w:commentReference w:id="13"/>
      </w:r>
    </w:p>
    <w:p w14:paraId="4D23DE11" w14:textId="7BF43B8C" w:rsidR="00F025D6" w:rsidRDefault="00F025D6" w:rsidP="00F025D6">
      <w:pPr>
        <w:rPr>
          <w:sz w:val="20"/>
          <w:szCs w:val="20"/>
        </w:rPr>
      </w:pPr>
    </w:p>
    <w:p w14:paraId="639D542E" w14:textId="77777777" w:rsidR="00F025D6" w:rsidRPr="00F025D6" w:rsidRDefault="00F025D6" w:rsidP="00F025D6">
      <w:pPr>
        <w:rPr>
          <w:sz w:val="20"/>
          <w:szCs w:val="20"/>
        </w:rPr>
      </w:pPr>
    </w:p>
    <w:p w14:paraId="026C53B2" w14:textId="77777777" w:rsidR="00E17097" w:rsidRPr="00E17097" w:rsidRDefault="00E17097" w:rsidP="004019C2">
      <w:pPr>
        <w:jc w:val="center"/>
        <w:rPr>
          <w:rFonts w:ascii="Calibri" w:hAnsi="Calibri" w:cs="Calibri"/>
          <w:b/>
        </w:rPr>
      </w:pPr>
      <w:r>
        <w:rPr>
          <w:noProof/>
        </w:rPr>
        <w:lastRenderedPageBreak/>
        <w:drawing>
          <wp:inline distT="0" distB="0" distL="0" distR="0" wp14:anchorId="1FB1CDB6" wp14:editId="304058EF">
            <wp:extent cx="3344398" cy="2936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MDS_noChimera_edited-01.png"/>
                    <pic:cNvPicPr/>
                  </pic:nvPicPr>
                  <pic:blipFill>
                    <a:blip r:embed="rId13">
                      <a:extLst>
                        <a:ext uri="{28A0092B-C50C-407E-A947-70E740481C1C}">
                          <a14:useLocalDpi xmlns:a14="http://schemas.microsoft.com/office/drawing/2010/main" val="0"/>
                        </a:ext>
                      </a:extLst>
                    </a:blip>
                    <a:stretch>
                      <a:fillRect/>
                    </a:stretch>
                  </pic:blipFill>
                  <pic:spPr>
                    <a:xfrm>
                      <a:off x="0" y="0"/>
                      <a:ext cx="3352019" cy="2943402"/>
                    </a:xfrm>
                    <a:prstGeom prst="rect">
                      <a:avLst/>
                    </a:prstGeom>
                  </pic:spPr>
                </pic:pic>
              </a:graphicData>
            </a:graphic>
          </wp:inline>
        </w:drawing>
      </w:r>
    </w:p>
    <w:p w14:paraId="10D392C2" w14:textId="47F46614" w:rsidR="00E17097" w:rsidRDefault="00E17097" w:rsidP="00E17097">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noProof/>
          <w:color w:val="7F7F7F" w:themeColor="text1" w:themeTint="80"/>
          <w:sz w:val="18"/>
          <w:szCs w:val="18"/>
        </w:rPr>
        <w:t xml:space="preserve">Figure </w:t>
      </w:r>
      <w:r>
        <w:rPr>
          <w:rFonts w:ascii="TimesNewRomanPSMT" w:hAnsi="TimesNewRomanPSMT"/>
          <w:b/>
          <w:noProof/>
          <w:color w:val="7F7F7F" w:themeColor="text1" w:themeTint="80"/>
          <w:sz w:val="18"/>
          <w:szCs w:val="18"/>
        </w:rPr>
        <w:t>x</w:t>
      </w:r>
      <w:r w:rsidRPr="008B298C">
        <w:rPr>
          <w:rFonts w:ascii="TimesNewRomanPSMT" w:hAnsi="TimesNewRomanPSMT"/>
          <w:b/>
          <w:noProof/>
          <w:color w:val="7F7F7F" w:themeColor="text1" w:themeTint="80"/>
          <w:sz w:val="18"/>
          <w:szCs w:val="18"/>
        </w:rPr>
        <w:t>.</w:t>
      </w:r>
      <w:r w:rsidRPr="008B298C">
        <w:rPr>
          <w:rFonts w:ascii="TimesNewRomanPSMT" w:hAnsi="TimesNewRomanPSMT"/>
          <w:noProof/>
          <w:color w:val="7F7F7F" w:themeColor="text1" w:themeTint="80"/>
          <w:sz w:val="18"/>
          <w:szCs w:val="18"/>
        </w:rPr>
        <w:t xml:space="preserve"> NMDS plot of DeMMO fluid and biofilm communities represented as hollow and filled points, respectively. Community compositions taken from relative abundances of 16s rRNA gene sequences binned at the family level. Vectors representing each family are colored by Phylum. Vectors representing </w:t>
      </w:r>
      <w:r w:rsidRPr="008B298C">
        <w:rPr>
          <w:rFonts w:ascii="TimesNewRomanPSMT" w:hAnsi="TimesNewRomanPSMT"/>
          <w:i/>
          <w:noProof/>
          <w:color w:val="7F7F7F" w:themeColor="text1" w:themeTint="80"/>
          <w:sz w:val="18"/>
          <w:szCs w:val="18"/>
        </w:rPr>
        <w:t>Desulfobulbaceae</w:t>
      </w:r>
      <w:r w:rsidRPr="008B298C">
        <w:rPr>
          <w:rFonts w:ascii="TimesNewRomanPSMT" w:hAnsi="TimesNewRomanPSMT"/>
          <w:noProof/>
          <w:color w:val="7F7F7F" w:themeColor="text1" w:themeTint="80"/>
          <w:sz w:val="18"/>
          <w:szCs w:val="18"/>
        </w:rPr>
        <w:t xml:space="preserve"> and </w:t>
      </w:r>
      <w:r w:rsidRPr="008B298C">
        <w:rPr>
          <w:rFonts w:ascii="TimesNewRomanPSMT" w:hAnsi="TimesNewRomanPSMT"/>
          <w:i/>
          <w:noProof/>
          <w:color w:val="7F7F7F" w:themeColor="text1" w:themeTint="80"/>
          <w:sz w:val="18"/>
          <w:szCs w:val="18"/>
        </w:rPr>
        <w:t>Thermodesulfovibrionia</w:t>
      </w:r>
      <w:r w:rsidRPr="008B298C">
        <w:rPr>
          <w:rFonts w:ascii="TimesNewRomanPSMT" w:hAnsi="TimesNewRomanPSMT"/>
          <w:noProof/>
          <w:color w:val="7F7F7F" w:themeColor="text1" w:themeTint="80"/>
          <w:sz w:val="18"/>
          <w:szCs w:val="18"/>
        </w:rPr>
        <w:t xml:space="preserve"> are shown as black dotted lines. Biofilm communities from pyrolusite experiments are shown as opaque black points. 95% confidence ellipses encompass fluid, mineral biofillm or control biofilm communities from each site. </w:t>
      </w:r>
      <w:r>
        <w:rPr>
          <w:rFonts w:ascii="TimesNewRomanPSMT" w:hAnsi="TimesNewRomanPSMT"/>
          <w:color w:val="7F7F7F" w:themeColor="text1" w:themeTint="80"/>
          <w:sz w:val="18"/>
          <w:szCs w:val="18"/>
        </w:rPr>
        <w:t>A</w:t>
      </w:r>
      <w:r w:rsidRPr="008B298C">
        <w:rPr>
          <w:rFonts w:ascii="TimesNewRomanPSMT" w:hAnsi="TimesNewRomanPSMT"/>
          <w:color w:val="7F7F7F" w:themeColor="text1" w:themeTint="80"/>
          <w:sz w:val="18"/>
          <w:szCs w:val="18"/>
        </w:rPr>
        <w:t>mbient background controls are glass slides that were placed in the mine tunnels exposed to air at depths of 800 and 4,850 ft for five months</w:t>
      </w:r>
      <w:r>
        <w:rPr>
          <w:rFonts w:ascii="TimesNewRomanPSMT" w:hAnsi="TimesNewRomanPSMT"/>
          <w:color w:val="7F7F7F" w:themeColor="text1" w:themeTint="80"/>
          <w:sz w:val="18"/>
          <w:szCs w:val="18"/>
        </w:rPr>
        <w:t xml:space="preserve"> or fluid</w:t>
      </w:r>
      <w:r w:rsidRPr="008B298C">
        <w:rPr>
          <w:rFonts w:ascii="TimesNewRomanPSMT" w:hAnsi="TimesNewRomanPSMT"/>
          <w:color w:val="7F7F7F" w:themeColor="text1" w:themeTint="80"/>
          <w:sz w:val="18"/>
          <w:szCs w:val="18"/>
        </w:rPr>
        <w:t xml:space="preserve"> samples from open ditches in the mine tunnels</w:t>
      </w:r>
      <w:r>
        <w:rPr>
          <w:rFonts w:ascii="TimesNewRomanPSMT" w:hAnsi="TimesNewRomanPSMT"/>
          <w:color w:val="7F7F7F" w:themeColor="text1" w:themeTint="80"/>
          <w:sz w:val="18"/>
          <w:szCs w:val="18"/>
        </w:rPr>
        <w:t>.</w:t>
      </w:r>
    </w:p>
    <w:p w14:paraId="05FCFB7D" w14:textId="5548A54E" w:rsidR="00D6755D" w:rsidRDefault="00D6755D" w:rsidP="00E17097">
      <w:pPr>
        <w:pStyle w:val="NormalWeb"/>
        <w:spacing w:before="120" w:beforeAutospacing="0" w:after="0" w:afterAutospacing="0"/>
        <w:jc w:val="both"/>
        <w:rPr>
          <w:rFonts w:ascii="TimesNewRomanPSMT" w:hAnsi="TimesNewRomanPSMT"/>
          <w:color w:val="7F7F7F" w:themeColor="text1" w:themeTint="80"/>
          <w:sz w:val="18"/>
          <w:szCs w:val="18"/>
        </w:rPr>
      </w:pPr>
    </w:p>
    <w:p w14:paraId="5EFA7255" w14:textId="2D49071F" w:rsidR="00D6755D" w:rsidRDefault="00D6755D" w:rsidP="00D6755D">
      <w:pPr>
        <w:pStyle w:val="NormalWeb"/>
        <w:spacing w:before="120" w:beforeAutospacing="0" w:after="0" w:afterAutospacing="0"/>
        <w:jc w:val="center"/>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drawing>
          <wp:inline distT="0" distB="0" distL="0" distR="0" wp14:anchorId="7E36D38D" wp14:editId="62A6195D">
            <wp:extent cx="3953933" cy="3915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ds_data.d10000.pdf"/>
                    <pic:cNvPicPr/>
                  </pic:nvPicPr>
                  <pic:blipFill rotWithShape="1">
                    <a:blip r:embed="rId14">
                      <a:extLst>
                        <a:ext uri="{28A0092B-C50C-407E-A947-70E740481C1C}">
                          <a14:useLocalDpi xmlns:a14="http://schemas.microsoft.com/office/drawing/2010/main" val="0"/>
                        </a:ext>
                      </a:extLst>
                    </a:blip>
                    <a:srcRect t="21938" r="55841" b="21465"/>
                    <a:stretch/>
                  </pic:blipFill>
                  <pic:spPr bwMode="auto">
                    <a:xfrm>
                      <a:off x="0" y="0"/>
                      <a:ext cx="3957728" cy="3919744"/>
                    </a:xfrm>
                    <a:prstGeom prst="rect">
                      <a:avLst/>
                    </a:prstGeom>
                    <a:ln>
                      <a:noFill/>
                    </a:ln>
                    <a:extLst>
                      <a:ext uri="{53640926-AAD7-44D8-BBD7-CCE9431645EC}">
                        <a14:shadowObscured xmlns:a14="http://schemas.microsoft.com/office/drawing/2010/main"/>
                      </a:ext>
                    </a:extLst>
                  </pic:spPr>
                </pic:pic>
              </a:graphicData>
            </a:graphic>
          </wp:inline>
        </w:drawing>
      </w:r>
    </w:p>
    <w:p w14:paraId="65A2F86A" w14:textId="5D8AFD12" w:rsidR="00D6755D" w:rsidRDefault="00D6755D" w:rsidP="0026270C">
      <w:pPr>
        <w:pStyle w:val="NormalWeb"/>
        <w:spacing w:before="120" w:beforeAutospacing="0" w:after="0" w:afterAutospacing="0"/>
        <w:jc w:val="both"/>
        <w:rPr>
          <w:rFonts w:ascii="TimesNewRomanPSMT" w:hAnsi="TimesNewRomanPSMT"/>
          <w:noProof/>
          <w:color w:val="7F7F7F" w:themeColor="text1" w:themeTint="80"/>
          <w:sz w:val="18"/>
          <w:szCs w:val="18"/>
        </w:rPr>
      </w:pPr>
      <w:r w:rsidRPr="008B298C">
        <w:rPr>
          <w:rFonts w:ascii="TimesNewRomanPSMT" w:hAnsi="TimesNewRomanPSMT"/>
          <w:b/>
          <w:noProof/>
          <w:color w:val="7F7F7F" w:themeColor="text1" w:themeTint="80"/>
          <w:sz w:val="18"/>
          <w:szCs w:val="18"/>
        </w:rPr>
        <w:lastRenderedPageBreak/>
        <w:t xml:space="preserve">Figure </w:t>
      </w:r>
      <w:r>
        <w:rPr>
          <w:rFonts w:ascii="TimesNewRomanPSMT" w:hAnsi="TimesNewRomanPSMT"/>
          <w:b/>
          <w:noProof/>
          <w:color w:val="7F7F7F" w:themeColor="text1" w:themeTint="80"/>
          <w:sz w:val="18"/>
          <w:szCs w:val="18"/>
        </w:rPr>
        <w:t>x</w:t>
      </w:r>
      <w:r w:rsidRPr="008B298C">
        <w:rPr>
          <w:rFonts w:ascii="TimesNewRomanPSMT" w:hAnsi="TimesNewRomanPSMT"/>
          <w:b/>
          <w:noProof/>
          <w:color w:val="7F7F7F" w:themeColor="text1" w:themeTint="80"/>
          <w:sz w:val="18"/>
          <w:szCs w:val="18"/>
        </w:rPr>
        <w:t>.</w:t>
      </w:r>
      <w:r w:rsidRPr="008B298C">
        <w:rPr>
          <w:rFonts w:ascii="TimesNewRomanPSMT" w:hAnsi="TimesNewRomanPSMT"/>
          <w:noProof/>
          <w:color w:val="7F7F7F" w:themeColor="text1" w:themeTint="80"/>
          <w:sz w:val="18"/>
          <w:szCs w:val="18"/>
        </w:rPr>
        <w:t xml:space="preserve"> </w:t>
      </w:r>
      <w:r>
        <w:rPr>
          <w:rFonts w:ascii="TimesNewRomanPSMT" w:hAnsi="TimesNewRomanPSMT"/>
          <w:noProof/>
          <w:color w:val="7F7F7F" w:themeColor="text1" w:themeTint="80"/>
          <w:sz w:val="18"/>
          <w:szCs w:val="18"/>
        </w:rPr>
        <w:t>same NMDS plot as above, with 10k rarefaction depth. Similar trends as other plot, but Desulfobulbaceae and Thermodesulfovibrionia no longer have pval &lt;</w:t>
      </w:r>
      <w:r w:rsidR="0026270C">
        <w:rPr>
          <w:rFonts w:ascii="TimesNewRomanPSMT" w:hAnsi="TimesNewRomanPSMT"/>
          <w:noProof/>
          <w:color w:val="7F7F7F" w:themeColor="text1" w:themeTint="80"/>
          <w:sz w:val="18"/>
          <w:szCs w:val="18"/>
        </w:rPr>
        <w:t>=</w:t>
      </w:r>
      <w:r>
        <w:rPr>
          <w:rFonts w:ascii="TimesNewRomanPSMT" w:hAnsi="TimesNewRomanPSMT"/>
          <w:noProof/>
          <w:color w:val="7F7F7F" w:themeColor="text1" w:themeTint="80"/>
          <w:sz w:val="18"/>
          <w:szCs w:val="18"/>
        </w:rPr>
        <w:t xml:space="preserve"> 0.05 </w:t>
      </w:r>
      <w:r w:rsidR="0026270C">
        <w:rPr>
          <w:rFonts w:ascii="TimesNewRomanPSMT" w:hAnsi="TimesNewRomanPSMT"/>
          <w:noProof/>
          <w:color w:val="7F7F7F" w:themeColor="text1" w:themeTint="80"/>
          <w:sz w:val="18"/>
          <w:szCs w:val="18"/>
        </w:rPr>
        <w:t xml:space="preserve">when fitting vectors so they aren’t on this plot. </w:t>
      </w:r>
    </w:p>
    <w:p w14:paraId="381B7CB9" w14:textId="118C8F3D" w:rsidR="0043402E" w:rsidRDefault="0043402E" w:rsidP="0026270C">
      <w:pPr>
        <w:pStyle w:val="NormalWeb"/>
        <w:spacing w:before="120" w:beforeAutospacing="0" w:after="0" w:afterAutospacing="0"/>
        <w:jc w:val="both"/>
        <w:rPr>
          <w:rFonts w:ascii="TimesNewRomanPSMT" w:hAnsi="TimesNewRomanPSMT"/>
          <w:noProof/>
          <w:color w:val="7F7F7F" w:themeColor="text1" w:themeTint="80"/>
          <w:sz w:val="18"/>
          <w:szCs w:val="18"/>
        </w:rPr>
      </w:pPr>
    </w:p>
    <w:p w14:paraId="585FDC51" w14:textId="7C538A35" w:rsidR="0043402E" w:rsidRDefault="0043402E" w:rsidP="0043402E">
      <w:pPr>
        <w:pStyle w:val="NormalWeb"/>
        <w:spacing w:before="120" w:beforeAutospacing="0" w:after="0" w:afterAutospacing="0"/>
        <w:jc w:val="center"/>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drawing>
          <wp:inline distT="0" distB="0" distL="0" distR="0" wp14:anchorId="190E78B7" wp14:editId="6439DAEA">
            <wp:extent cx="4445000" cy="34349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s_data.d10000.recolored.minpval.pdf"/>
                    <pic:cNvPicPr/>
                  </pic:nvPicPr>
                  <pic:blipFill>
                    <a:blip r:embed="rId15">
                      <a:extLst>
                        <a:ext uri="{28A0092B-C50C-407E-A947-70E740481C1C}">
                          <a14:useLocalDpi xmlns:a14="http://schemas.microsoft.com/office/drawing/2010/main" val="0"/>
                        </a:ext>
                      </a:extLst>
                    </a:blip>
                    <a:stretch>
                      <a:fillRect/>
                    </a:stretch>
                  </pic:blipFill>
                  <pic:spPr>
                    <a:xfrm>
                      <a:off x="0" y="0"/>
                      <a:ext cx="4452167" cy="3440440"/>
                    </a:xfrm>
                    <a:prstGeom prst="rect">
                      <a:avLst/>
                    </a:prstGeom>
                  </pic:spPr>
                </pic:pic>
              </a:graphicData>
            </a:graphic>
          </wp:inline>
        </w:drawing>
      </w:r>
    </w:p>
    <w:p w14:paraId="4C24B641" w14:textId="6177C3ED" w:rsidR="004232B9" w:rsidRDefault="004232B9" w:rsidP="004232B9">
      <w:pPr>
        <w:pStyle w:val="NormalWeb"/>
        <w:spacing w:before="120" w:beforeAutospacing="0" w:after="0" w:afterAutospacing="0"/>
        <w:jc w:val="both"/>
        <w:rPr>
          <w:rFonts w:ascii="TimesNewRomanPSMT" w:hAnsi="TimesNewRomanPSMT"/>
          <w:noProof/>
          <w:color w:val="7F7F7F" w:themeColor="text1" w:themeTint="80"/>
          <w:sz w:val="18"/>
          <w:szCs w:val="18"/>
        </w:rPr>
      </w:pPr>
      <w:r w:rsidRPr="008B298C">
        <w:rPr>
          <w:rFonts w:ascii="TimesNewRomanPSMT" w:hAnsi="TimesNewRomanPSMT"/>
          <w:b/>
          <w:noProof/>
          <w:color w:val="7F7F7F" w:themeColor="text1" w:themeTint="80"/>
          <w:sz w:val="18"/>
          <w:szCs w:val="18"/>
        </w:rPr>
        <w:t xml:space="preserve">Figure </w:t>
      </w:r>
      <w:r>
        <w:rPr>
          <w:rFonts w:ascii="TimesNewRomanPSMT" w:hAnsi="TimesNewRomanPSMT"/>
          <w:b/>
          <w:noProof/>
          <w:color w:val="7F7F7F" w:themeColor="text1" w:themeTint="80"/>
          <w:sz w:val="18"/>
          <w:szCs w:val="18"/>
        </w:rPr>
        <w:t>x</w:t>
      </w:r>
      <w:r w:rsidRPr="008B298C">
        <w:rPr>
          <w:rFonts w:ascii="TimesNewRomanPSMT" w:hAnsi="TimesNewRomanPSMT"/>
          <w:b/>
          <w:noProof/>
          <w:color w:val="7F7F7F" w:themeColor="text1" w:themeTint="80"/>
          <w:sz w:val="18"/>
          <w:szCs w:val="18"/>
        </w:rPr>
        <w:t>.</w:t>
      </w:r>
      <w:r w:rsidRPr="008B298C">
        <w:rPr>
          <w:rFonts w:ascii="TimesNewRomanPSMT" w:hAnsi="TimesNewRomanPSMT"/>
          <w:noProof/>
          <w:color w:val="7F7F7F" w:themeColor="text1" w:themeTint="80"/>
          <w:sz w:val="18"/>
          <w:szCs w:val="18"/>
        </w:rPr>
        <w:t xml:space="preserve"> </w:t>
      </w:r>
      <w:r>
        <w:rPr>
          <w:rFonts w:ascii="TimesNewRomanPSMT" w:hAnsi="TimesNewRomanPSMT"/>
          <w:noProof/>
          <w:color w:val="7F7F7F" w:themeColor="text1" w:themeTint="80"/>
          <w:sz w:val="18"/>
          <w:szCs w:val="18"/>
        </w:rPr>
        <w:t>same NMDS plot as above, with 10k rarefaction depth</w:t>
      </w:r>
      <w:r>
        <w:rPr>
          <w:rFonts w:ascii="TimesNewRomanPSMT" w:hAnsi="TimesNewRomanPSMT"/>
          <w:noProof/>
          <w:color w:val="7F7F7F" w:themeColor="text1" w:themeTint="80"/>
          <w:sz w:val="18"/>
          <w:szCs w:val="18"/>
        </w:rPr>
        <w:t xml:space="preserve"> showing only min pval vectors, recolored with Maggie’s colors</w:t>
      </w:r>
    </w:p>
    <w:p w14:paraId="2BEA073F" w14:textId="77777777" w:rsidR="004232B9" w:rsidRDefault="004232B9" w:rsidP="0043402E">
      <w:pPr>
        <w:pStyle w:val="NormalWeb"/>
        <w:spacing w:before="120" w:beforeAutospacing="0" w:after="0" w:afterAutospacing="0"/>
        <w:jc w:val="center"/>
        <w:rPr>
          <w:rFonts w:ascii="TimesNewRomanPSMT" w:hAnsi="TimesNewRomanPSMT"/>
          <w:color w:val="7F7F7F" w:themeColor="text1" w:themeTint="80"/>
          <w:sz w:val="18"/>
          <w:szCs w:val="18"/>
        </w:rPr>
      </w:pPr>
    </w:p>
    <w:p w14:paraId="4FF2CF20" w14:textId="359319B3" w:rsidR="00E17097" w:rsidRDefault="00E17097" w:rsidP="00E17097">
      <w:pPr>
        <w:rPr>
          <w:sz w:val="20"/>
          <w:szCs w:val="20"/>
        </w:rPr>
      </w:pPr>
    </w:p>
    <w:p w14:paraId="2C699AF4" w14:textId="77777777" w:rsidR="00E17097" w:rsidRDefault="00E17097" w:rsidP="009D4FB9">
      <w:pPr>
        <w:jc w:val="center"/>
        <w:rPr>
          <w:rFonts w:ascii="Calibri" w:hAnsi="Calibri" w:cs="Calibri"/>
          <w:b/>
        </w:rPr>
      </w:pPr>
      <w:r>
        <w:rPr>
          <w:rFonts w:ascii="Calibri" w:hAnsi="Calibri" w:cs="Calibri"/>
          <w:b/>
          <w:noProof/>
        </w:rPr>
        <w:drawing>
          <wp:inline distT="0" distB="0" distL="0" distR="0" wp14:anchorId="098AF8FA" wp14:editId="3F5767F6">
            <wp:extent cx="4353169" cy="261283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plot_noChimeras_edited-01.png"/>
                    <pic:cNvPicPr/>
                  </pic:nvPicPr>
                  <pic:blipFill>
                    <a:blip r:embed="rId16">
                      <a:extLst>
                        <a:ext uri="{28A0092B-C50C-407E-A947-70E740481C1C}">
                          <a14:useLocalDpi xmlns:a14="http://schemas.microsoft.com/office/drawing/2010/main" val="0"/>
                        </a:ext>
                      </a:extLst>
                    </a:blip>
                    <a:stretch>
                      <a:fillRect/>
                    </a:stretch>
                  </pic:blipFill>
                  <pic:spPr>
                    <a:xfrm>
                      <a:off x="0" y="0"/>
                      <a:ext cx="4360658" cy="2617327"/>
                    </a:xfrm>
                    <a:prstGeom prst="rect">
                      <a:avLst/>
                    </a:prstGeom>
                  </pic:spPr>
                </pic:pic>
              </a:graphicData>
            </a:graphic>
          </wp:inline>
        </w:drawing>
      </w:r>
    </w:p>
    <w:p w14:paraId="6A6A42A1" w14:textId="173C2402" w:rsidR="00E17097" w:rsidRDefault="00E17097" w:rsidP="00E17097">
      <w:pPr>
        <w:pStyle w:val="NormalWeb"/>
        <w:spacing w:before="120" w:beforeAutospacing="0" w:after="0" w:afterAutospacing="0"/>
        <w:jc w:val="both"/>
        <w:rPr>
          <w:rFonts w:ascii="TimesNewRomanPSMT" w:hAnsi="TimesNewRomanPSMT"/>
          <w:color w:val="7F7F7F" w:themeColor="text1" w:themeTint="80"/>
          <w:sz w:val="18"/>
          <w:szCs w:val="18"/>
        </w:rPr>
      </w:pPr>
      <w:commentRangeStart w:id="14"/>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commentRangeEnd w:id="14"/>
      <w:r w:rsidR="00F025D6">
        <w:rPr>
          <w:rStyle w:val="CommentReference"/>
        </w:rPr>
        <w:commentReference w:id="14"/>
      </w:r>
      <w:r>
        <w:rPr>
          <w:rFonts w:ascii="TimesNewRomanPSMT" w:hAnsi="TimesNewRomanPSMT"/>
          <w:color w:val="7F7F7F" w:themeColor="text1" w:themeTint="80"/>
          <w:sz w:val="18"/>
          <w:szCs w:val="18"/>
        </w:rPr>
        <w:t xml:space="preserve">Beta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w:t>
      </w:r>
      <w:r w:rsidRPr="008B298C">
        <w:rPr>
          <w:rFonts w:ascii="TimesNewRomanPSMT" w:hAnsi="TimesNewRomanPSMT"/>
          <w:color w:val="7F7F7F" w:themeColor="text1" w:themeTint="80"/>
          <w:sz w:val="18"/>
          <w:szCs w:val="18"/>
        </w:rPr>
        <w:t xml:space="preserve">Relative abundances of taxa binned at the family level from selected </w:t>
      </w:r>
      <w:proofErr w:type="spellStart"/>
      <w:r w:rsidRPr="008B298C">
        <w:rPr>
          <w:rFonts w:ascii="TimesNewRomanPSMT" w:hAnsi="TimesNewRomanPSMT"/>
          <w:color w:val="7F7F7F" w:themeColor="text1" w:themeTint="80"/>
          <w:sz w:val="18"/>
          <w:szCs w:val="18"/>
        </w:rPr>
        <w:t>DeMMO</w:t>
      </w:r>
      <w:proofErr w:type="spellEnd"/>
      <w:r w:rsidRPr="008B298C">
        <w:rPr>
          <w:rFonts w:ascii="TimesNewRomanPSMT" w:hAnsi="TimesNewRomanPSMT"/>
          <w:color w:val="7F7F7F" w:themeColor="text1" w:themeTint="80"/>
          <w:sz w:val="18"/>
          <w:szCs w:val="18"/>
        </w:rPr>
        <w:t xml:space="preserve"> fluid and biofilm samples. Taxa that make up less than 1</w:t>
      </w:r>
      <w:r>
        <w:rPr>
          <w:rFonts w:ascii="TimesNewRomanPSMT" w:hAnsi="TimesNewRomanPSMT"/>
          <w:color w:val="7F7F7F" w:themeColor="text1" w:themeTint="80"/>
          <w:sz w:val="18"/>
          <w:szCs w:val="18"/>
        </w:rPr>
        <w:t>0</w:t>
      </w:r>
      <w:r w:rsidRPr="008B298C">
        <w:rPr>
          <w:rFonts w:ascii="TimesNewRomanPSMT" w:hAnsi="TimesNewRomanPSMT"/>
          <w:color w:val="7F7F7F" w:themeColor="text1" w:themeTint="80"/>
          <w:sz w:val="18"/>
          <w:szCs w:val="18"/>
        </w:rPr>
        <w:t>% of a community were binned as ‘Less Abundant Taxa’.</w:t>
      </w:r>
      <w:r>
        <w:rPr>
          <w:rFonts w:ascii="TimesNewRomanPSMT" w:hAnsi="TimesNewRomanPSMT"/>
          <w:color w:val="7F7F7F" w:themeColor="text1" w:themeTint="80"/>
          <w:sz w:val="18"/>
          <w:szCs w:val="18"/>
        </w:rPr>
        <w:t xml:space="preserve"> Communities are organized by hierarchical clustering using Bray-Curtis similarity, visualized as a dendrogram. </w:t>
      </w:r>
    </w:p>
    <w:p w14:paraId="793E19D2" w14:textId="54521F60" w:rsidR="009D4FB9" w:rsidRDefault="009D4FB9" w:rsidP="009D4FB9">
      <w:pPr>
        <w:pStyle w:val="NormalWeb"/>
        <w:spacing w:before="120" w:beforeAutospacing="0" w:after="0" w:afterAutospacing="0"/>
        <w:jc w:val="center"/>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42669FB2" wp14:editId="250D637E">
            <wp:extent cx="3778738" cy="2920044"/>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ro.bar.plot.d1000.pdf"/>
                    <pic:cNvPicPr/>
                  </pic:nvPicPr>
                  <pic:blipFill>
                    <a:blip r:embed="rId17">
                      <a:extLst>
                        <a:ext uri="{28A0092B-C50C-407E-A947-70E740481C1C}">
                          <a14:useLocalDpi xmlns:a14="http://schemas.microsoft.com/office/drawing/2010/main" val="0"/>
                        </a:ext>
                      </a:extLst>
                    </a:blip>
                    <a:stretch>
                      <a:fillRect/>
                    </a:stretch>
                  </pic:blipFill>
                  <pic:spPr>
                    <a:xfrm>
                      <a:off x="0" y="0"/>
                      <a:ext cx="3783470" cy="2923700"/>
                    </a:xfrm>
                    <a:prstGeom prst="rect">
                      <a:avLst/>
                    </a:prstGeom>
                  </pic:spPr>
                </pic:pic>
              </a:graphicData>
            </a:graphic>
          </wp:inline>
        </w:drawing>
      </w:r>
    </w:p>
    <w:p w14:paraId="6D8A851C" w14:textId="7BB33DCF" w:rsidR="009D4FB9" w:rsidRPr="009D4FB9" w:rsidRDefault="009D4FB9" w:rsidP="009D4FB9">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Pr>
          <w:rFonts w:ascii="TimesNewRomanPSMT" w:hAnsi="TimesNewRomanPSMT"/>
          <w:b/>
          <w:color w:val="7F7F7F" w:themeColor="text1" w:themeTint="80"/>
          <w:sz w:val="18"/>
          <w:szCs w:val="18"/>
        </w:rPr>
        <w:t xml:space="preserve"> </w:t>
      </w:r>
      <w:r>
        <w:rPr>
          <w:rFonts w:ascii="TimesNewRomanPSMT" w:hAnsi="TimesNewRomanPSMT"/>
          <w:color w:val="7F7F7F" w:themeColor="text1" w:themeTint="80"/>
          <w:sz w:val="18"/>
          <w:szCs w:val="18"/>
        </w:rPr>
        <w:t>same fig as above at rarefaction depth of 10k reads</w:t>
      </w:r>
      <w:r>
        <w:rPr>
          <w:rFonts w:ascii="TimesNewRomanPSMT" w:hAnsi="TimesNewRomanPSMT"/>
          <w:color w:val="7F7F7F" w:themeColor="text1" w:themeTint="80"/>
          <w:sz w:val="18"/>
          <w:szCs w:val="18"/>
        </w:rPr>
        <w:softHyphen/>
        <w:t xml:space="preserve"> – shows basically same trends </w:t>
      </w:r>
    </w:p>
    <w:p w14:paraId="674DBD72" w14:textId="77777777" w:rsidR="00E17097" w:rsidRPr="00E17097" w:rsidRDefault="00E17097" w:rsidP="00E17097">
      <w:pPr>
        <w:rPr>
          <w:sz w:val="20"/>
          <w:szCs w:val="20"/>
        </w:rPr>
      </w:pPr>
    </w:p>
    <w:p w14:paraId="228FDDD0" w14:textId="225E52D8" w:rsidR="003035A9" w:rsidRPr="00FC73CE" w:rsidRDefault="003035A9" w:rsidP="003035A9">
      <w:pPr>
        <w:pStyle w:val="ListParagraph"/>
        <w:numPr>
          <w:ilvl w:val="0"/>
          <w:numId w:val="10"/>
        </w:numPr>
        <w:rPr>
          <w:b/>
          <w:sz w:val="20"/>
          <w:szCs w:val="20"/>
        </w:rPr>
      </w:pPr>
      <w:r w:rsidRPr="00FC73CE">
        <w:rPr>
          <w:b/>
          <w:sz w:val="20"/>
          <w:szCs w:val="20"/>
        </w:rPr>
        <w:t xml:space="preserve">Biofilm cell density estimates </w:t>
      </w:r>
    </w:p>
    <w:p w14:paraId="29CF6CDB" w14:textId="63E2EF21" w:rsidR="005654B9" w:rsidRPr="005654B9" w:rsidRDefault="0030190C" w:rsidP="005654B9">
      <w:pPr>
        <w:pStyle w:val="ListParagraph"/>
        <w:numPr>
          <w:ilvl w:val="1"/>
          <w:numId w:val="10"/>
        </w:numPr>
        <w:rPr>
          <w:sz w:val="20"/>
          <w:szCs w:val="20"/>
        </w:rPr>
      </w:pPr>
      <w:r>
        <w:rPr>
          <w:sz w:val="20"/>
          <w:szCs w:val="20"/>
        </w:rPr>
        <w:t>Overall, communities from DeMMO1 had the highest densities, and of these, the highest were in parallel control experiments</w:t>
      </w:r>
    </w:p>
    <w:p w14:paraId="179CEC6E" w14:textId="4CCC0731" w:rsidR="0030190C" w:rsidRDefault="0030190C" w:rsidP="0030190C">
      <w:pPr>
        <w:pStyle w:val="ListParagraph"/>
        <w:numPr>
          <w:ilvl w:val="1"/>
          <w:numId w:val="10"/>
        </w:numPr>
        <w:rPr>
          <w:sz w:val="20"/>
          <w:szCs w:val="20"/>
        </w:rPr>
      </w:pPr>
      <w:r>
        <w:rPr>
          <w:sz w:val="20"/>
          <w:szCs w:val="20"/>
        </w:rPr>
        <w:t>Of the minerals, pyrolusite had highest cell densities</w:t>
      </w:r>
      <w:r w:rsidR="00636C3E">
        <w:rPr>
          <w:sz w:val="20"/>
          <w:szCs w:val="20"/>
        </w:rPr>
        <w:t>, lowest densities on calcite + muscovite</w:t>
      </w:r>
    </w:p>
    <w:p w14:paraId="31E6CA35" w14:textId="22E5CA53" w:rsidR="00374534" w:rsidRDefault="00374534" w:rsidP="0030190C">
      <w:pPr>
        <w:pStyle w:val="ListParagraph"/>
        <w:numPr>
          <w:ilvl w:val="1"/>
          <w:numId w:val="10"/>
        </w:numPr>
        <w:rPr>
          <w:sz w:val="20"/>
          <w:szCs w:val="20"/>
        </w:rPr>
      </w:pPr>
      <w:r>
        <w:rPr>
          <w:sz w:val="20"/>
          <w:szCs w:val="20"/>
        </w:rPr>
        <w:t>Cell densities were higher on minerals than on internal controls, with exceptions being in DeMMO1 communities</w:t>
      </w:r>
      <w:r w:rsidR="005654B9">
        <w:rPr>
          <w:sz w:val="20"/>
          <w:szCs w:val="20"/>
        </w:rPr>
        <w:t xml:space="preserve"> on pyrite and magnetite.</w:t>
      </w:r>
    </w:p>
    <w:p w14:paraId="07D1F3BD" w14:textId="0180F221" w:rsidR="0044211A" w:rsidRDefault="0044211A" w:rsidP="0030190C">
      <w:pPr>
        <w:pStyle w:val="ListParagraph"/>
        <w:numPr>
          <w:ilvl w:val="1"/>
          <w:numId w:val="10"/>
        </w:numPr>
        <w:rPr>
          <w:sz w:val="20"/>
          <w:szCs w:val="20"/>
        </w:rPr>
      </w:pPr>
      <w:r>
        <w:rPr>
          <w:sz w:val="20"/>
          <w:szCs w:val="20"/>
        </w:rPr>
        <w:t xml:space="preserve">Temporal variability in densities observed at each site, particularly at DeMMO1 </w:t>
      </w:r>
    </w:p>
    <w:p w14:paraId="4AD59469" w14:textId="0C12E50F" w:rsidR="0044211A" w:rsidRDefault="0044211A" w:rsidP="0030190C">
      <w:pPr>
        <w:pStyle w:val="ListParagraph"/>
        <w:numPr>
          <w:ilvl w:val="1"/>
          <w:numId w:val="10"/>
        </w:numPr>
        <w:rPr>
          <w:sz w:val="20"/>
          <w:szCs w:val="20"/>
        </w:rPr>
      </w:pPr>
      <w:r>
        <w:rPr>
          <w:sz w:val="20"/>
          <w:szCs w:val="20"/>
        </w:rPr>
        <w:t>Cell morphologies differ between minerals and controls</w:t>
      </w:r>
    </w:p>
    <w:p w14:paraId="4BEA1DC8" w14:textId="1193F0FE" w:rsidR="00E451E7" w:rsidRDefault="00E451E7" w:rsidP="0030190C">
      <w:pPr>
        <w:pStyle w:val="ListParagraph"/>
        <w:numPr>
          <w:ilvl w:val="1"/>
          <w:numId w:val="10"/>
        </w:numPr>
        <w:rPr>
          <w:sz w:val="20"/>
          <w:szCs w:val="20"/>
        </w:rPr>
      </w:pPr>
      <w:r>
        <w:rPr>
          <w:sz w:val="20"/>
          <w:szCs w:val="20"/>
        </w:rPr>
        <w:t xml:space="preserve">Descriptions of biogenic structures and </w:t>
      </w:r>
      <w:commentRangeStart w:id="15"/>
      <w:r>
        <w:rPr>
          <w:sz w:val="20"/>
          <w:szCs w:val="20"/>
        </w:rPr>
        <w:t xml:space="preserve">cell morphologies </w:t>
      </w:r>
      <w:commentRangeEnd w:id="15"/>
      <w:r w:rsidR="00E61ACD">
        <w:rPr>
          <w:rStyle w:val="CommentReference"/>
        </w:rPr>
        <w:commentReference w:id="15"/>
      </w:r>
    </w:p>
    <w:p w14:paraId="11156818" w14:textId="77777777" w:rsidR="00E17097" w:rsidRPr="00E17097" w:rsidRDefault="00E17097" w:rsidP="00E17097">
      <w:pPr>
        <w:ind w:left="720"/>
        <w:rPr>
          <w:sz w:val="20"/>
          <w:szCs w:val="20"/>
        </w:rPr>
      </w:pPr>
    </w:p>
    <w:p w14:paraId="195616BE" w14:textId="77777777" w:rsidR="00E17097" w:rsidRPr="00E17097" w:rsidRDefault="00E17097" w:rsidP="00E17097">
      <w:pPr>
        <w:jc w:val="both"/>
        <w:rPr>
          <w:rFonts w:ascii="Calibri" w:hAnsi="Calibri" w:cs="Calibri"/>
          <w:b/>
        </w:rPr>
      </w:pPr>
      <w:r>
        <w:rPr>
          <w:noProof/>
        </w:rPr>
        <w:drawing>
          <wp:inline distT="0" distB="0" distL="0" distR="0" wp14:anchorId="73219A48" wp14:editId="6B28A6B4">
            <wp:extent cx="5943600" cy="1866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ll.dens-0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16B32F13" w14:textId="7F6D7A33" w:rsidR="00E17097" w:rsidRDefault="00E17097" w:rsidP="00E17097">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estimated from cell counts from mineral chip SEM images. </w:t>
      </w:r>
      <w:r>
        <w:rPr>
          <w:rFonts w:ascii="TimesNewRomanPSMT" w:hAnsi="TimesNewRomanPSMT"/>
          <w:color w:val="7F7F7F" w:themeColor="text1" w:themeTint="80"/>
          <w:sz w:val="18"/>
          <w:szCs w:val="18"/>
        </w:rPr>
        <w:t>G</w:t>
      </w:r>
      <w:r w:rsidRPr="008B298C">
        <w:rPr>
          <w:rFonts w:ascii="TimesNewRomanPSMT" w:hAnsi="TimesNewRomanPSMT"/>
          <w:color w:val="7F7F7F" w:themeColor="text1" w:themeTint="80"/>
          <w:sz w:val="18"/>
          <w:szCs w:val="18"/>
        </w:rPr>
        <w:t xml:space="preserve">lass slides </w:t>
      </w:r>
      <w:r>
        <w:rPr>
          <w:rFonts w:ascii="TimesNewRomanPSMT" w:hAnsi="TimesNewRomanPSMT"/>
          <w:color w:val="7F7F7F" w:themeColor="text1" w:themeTint="80"/>
          <w:sz w:val="18"/>
          <w:szCs w:val="18"/>
        </w:rPr>
        <w:t xml:space="preserve">were </w:t>
      </w:r>
      <w:r w:rsidRPr="008B298C">
        <w:rPr>
          <w:rFonts w:ascii="TimesNewRomanPSMT" w:hAnsi="TimesNewRomanPSMT"/>
          <w:color w:val="7F7F7F" w:themeColor="text1" w:themeTint="80"/>
          <w:sz w:val="18"/>
          <w:szCs w:val="18"/>
        </w:rPr>
        <w:t xml:space="preserve">included in experiments with minerals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internal inert controls</w:t>
      </w:r>
      <w:r>
        <w:rPr>
          <w:rFonts w:ascii="TimesNewRomanPSMT" w:hAnsi="TimesNewRomanPSMT"/>
          <w:color w:val="7F7F7F" w:themeColor="text1" w:themeTint="80"/>
          <w:sz w:val="18"/>
          <w:szCs w:val="18"/>
        </w:rPr>
        <w:t>) or sand</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parallel inert controls</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Right: SEM images taken from pyrolusite experiments at DeMMO1. Clockwise from top left: pyrolusite, parallel sand control, native rock, internal pyrolusite control.</w:t>
      </w:r>
    </w:p>
    <w:p w14:paraId="25F5EFD7" w14:textId="77777777" w:rsidR="00C84673" w:rsidRDefault="00C84673" w:rsidP="00E17097">
      <w:pPr>
        <w:pStyle w:val="NormalWeb"/>
        <w:spacing w:before="120" w:beforeAutospacing="0" w:after="0" w:afterAutospacing="0"/>
        <w:jc w:val="both"/>
        <w:rPr>
          <w:rFonts w:ascii="TimesNewRomanPSMT" w:hAnsi="TimesNewRomanPSMT"/>
          <w:color w:val="7F7F7F" w:themeColor="text1" w:themeTint="80"/>
          <w:sz w:val="18"/>
          <w:szCs w:val="18"/>
        </w:rPr>
      </w:pPr>
    </w:p>
    <w:p w14:paraId="047572C7" w14:textId="7F14F886" w:rsidR="00C84673" w:rsidRDefault="00992859" w:rsidP="00C84673">
      <w:pPr>
        <w:pStyle w:val="NormalWeb"/>
        <w:spacing w:before="120" w:beforeAutospacing="0" w:after="0" w:afterAutospacing="0"/>
        <w:jc w:val="center"/>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628F36D8" wp14:editId="0886CE7C">
            <wp:extent cx="4045789" cy="312640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nsities_splitbySite.pdf"/>
                    <pic:cNvPicPr/>
                  </pic:nvPicPr>
                  <pic:blipFill>
                    <a:blip r:embed="rId19">
                      <a:extLst>
                        <a:ext uri="{28A0092B-C50C-407E-A947-70E740481C1C}">
                          <a14:useLocalDpi xmlns:a14="http://schemas.microsoft.com/office/drawing/2010/main" val="0"/>
                        </a:ext>
                      </a:extLst>
                    </a:blip>
                    <a:stretch>
                      <a:fillRect/>
                    </a:stretch>
                  </pic:blipFill>
                  <pic:spPr>
                    <a:xfrm>
                      <a:off x="0" y="0"/>
                      <a:ext cx="4053464" cy="3132340"/>
                    </a:xfrm>
                    <a:prstGeom prst="rect">
                      <a:avLst/>
                    </a:prstGeom>
                  </pic:spPr>
                </pic:pic>
              </a:graphicData>
            </a:graphic>
          </wp:inline>
        </w:drawing>
      </w:r>
    </w:p>
    <w:p w14:paraId="6A79D205" w14:textId="77777777" w:rsidR="00C84673" w:rsidRDefault="00C84673" w:rsidP="00C84673">
      <w:pPr>
        <w:pStyle w:val="NormalWeb"/>
        <w:spacing w:before="120" w:beforeAutospacing="0" w:after="0" w:afterAutospacing="0"/>
        <w:jc w:val="center"/>
        <w:rPr>
          <w:rFonts w:ascii="TimesNewRomanPSMT" w:hAnsi="TimesNewRomanPSMT"/>
          <w:color w:val="7F7F7F" w:themeColor="text1" w:themeTint="80"/>
          <w:sz w:val="18"/>
          <w:szCs w:val="18"/>
        </w:rPr>
      </w:pPr>
    </w:p>
    <w:p w14:paraId="4BFCD535" w14:textId="30DBBD39" w:rsidR="00F26895" w:rsidRDefault="00C84673" w:rsidP="00E17097">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Cell densities split by site </w:t>
      </w:r>
      <w:r w:rsidR="00C5533C">
        <w:rPr>
          <w:rFonts w:ascii="TimesNewRomanPSMT" w:hAnsi="TimesNewRomanPSMT"/>
          <w:color w:val="7F7F7F" w:themeColor="text1" w:themeTint="80"/>
          <w:sz w:val="18"/>
          <w:szCs w:val="18"/>
        </w:rPr>
        <w:t>ordered by highest density</w:t>
      </w:r>
    </w:p>
    <w:p w14:paraId="78F6F245" w14:textId="31A1A79E" w:rsidR="00C5533C" w:rsidRDefault="00992859" w:rsidP="00C5533C">
      <w:pPr>
        <w:pStyle w:val="NormalWeb"/>
        <w:spacing w:before="120" w:beforeAutospacing="0" w:after="0" w:afterAutospacing="0"/>
        <w:jc w:val="center"/>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drawing>
          <wp:inline distT="0" distB="0" distL="0" distR="0" wp14:anchorId="21A82161" wp14:editId="0D443EB0">
            <wp:extent cx="4226943" cy="326639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sities_splitbySite_noReorder.pdf"/>
                    <pic:cNvPicPr/>
                  </pic:nvPicPr>
                  <pic:blipFill>
                    <a:blip r:embed="rId20">
                      <a:extLst>
                        <a:ext uri="{28A0092B-C50C-407E-A947-70E740481C1C}">
                          <a14:useLocalDpi xmlns:a14="http://schemas.microsoft.com/office/drawing/2010/main" val="0"/>
                        </a:ext>
                      </a:extLst>
                    </a:blip>
                    <a:stretch>
                      <a:fillRect/>
                    </a:stretch>
                  </pic:blipFill>
                  <pic:spPr>
                    <a:xfrm>
                      <a:off x="0" y="0"/>
                      <a:ext cx="4233112" cy="3271164"/>
                    </a:xfrm>
                    <a:prstGeom prst="rect">
                      <a:avLst/>
                    </a:prstGeom>
                  </pic:spPr>
                </pic:pic>
              </a:graphicData>
            </a:graphic>
          </wp:inline>
        </w:drawing>
      </w:r>
    </w:p>
    <w:p w14:paraId="55D1416D" w14:textId="5A2F3295" w:rsidR="00C5533C" w:rsidRDefault="00C5533C" w:rsidP="00C5533C">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Cell densities split by </w:t>
      </w:r>
      <w:r>
        <w:rPr>
          <w:rFonts w:ascii="TimesNewRomanPSMT" w:hAnsi="TimesNewRomanPSMT"/>
          <w:color w:val="7F7F7F" w:themeColor="text1" w:themeTint="80"/>
          <w:sz w:val="18"/>
          <w:szCs w:val="18"/>
        </w:rPr>
        <w:t xml:space="preserve">site, organized by mineral type </w:t>
      </w:r>
    </w:p>
    <w:p w14:paraId="43931CC4" w14:textId="578E95DC" w:rsidR="00F26895" w:rsidRDefault="00F26895" w:rsidP="00E17097">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19D06B88" wp14:editId="5501F04A">
            <wp:extent cx="3123903" cy="2414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vs.date.boxplot.pdf"/>
                    <pic:cNvPicPr/>
                  </pic:nvPicPr>
                  <pic:blipFill>
                    <a:blip r:embed="rId21">
                      <a:extLst>
                        <a:ext uri="{28A0092B-C50C-407E-A947-70E740481C1C}">
                          <a14:useLocalDpi xmlns:a14="http://schemas.microsoft.com/office/drawing/2010/main" val="0"/>
                        </a:ext>
                      </a:extLst>
                    </a:blip>
                    <a:stretch>
                      <a:fillRect/>
                    </a:stretch>
                  </pic:blipFill>
                  <pic:spPr>
                    <a:xfrm>
                      <a:off x="0" y="0"/>
                      <a:ext cx="3139872" cy="2426356"/>
                    </a:xfrm>
                    <a:prstGeom prst="rect">
                      <a:avLst/>
                    </a:prstGeom>
                  </pic:spPr>
                </pic:pic>
              </a:graphicData>
            </a:graphic>
          </wp:inline>
        </w:drawing>
      </w:r>
      <w:r>
        <w:rPr>
          <w:rFonts w:ascii="TimesNewRomanPSMT" w:hAnsi="TimesNewRomanPSMT"/>
          <w:noProof/>
          <w:color w:val="7F7F7F" w:themeColor="text1" w:themeTint="80"/>
          <w:sz w:val="18"/>
          <w:szCs w:val="18"/>
        </w:rPr>
        <w:drawing>
          <wp:inline distT="0" distB="0" distL="0" distR="0" wp14:anchorId="4EB5F860" wp14:editId="18E2AF5C">
            <wp:extent cx="2509838" cy="23424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ns.vs.site.boxplot.pdf"/>
                    <pic:cNvPicPr/>
                  </pic:nvPicPr>
                  <pic:blipFill rotWithShape="1">
                    <a:blip r:embed="rId22">
                      <a:extLst>
                        <a:ext uri="{28A0092B-C50C-407E-A947-70E740481C1C}">
                          <a14:useLocalDpi xmlns:a14="http://schemas.microsoft.com/office/drawing/2010/main" val="0"/>
                        </a:ext>
                      </a:extLst>
                    </a:blip>
                    <a:srcRect r="17202"/>
                    <a:stretch/>
                  </pic:blipFill>
                  <pic:spPr bwMode="auto">
                    <a:xfrm>
                      <a:off x="0" y="0"/>
                      <a:ext cx="2547575" cy="2377678"/>
                    </a:xfrm>
                    <a:prstGeom prst="rect">
                      <a:avLst/>
                    </a:prstGeom>
                    <a:ln>
                      <a:noFill/>
                    </a:ln>
                    <a:extLst>
                      <a:ext uri="{53640926-AAD7-44D8-BBD7-CCE9431645EC}">
                        <a14:shadowObscured xmlns:a14="http://schemas.microsoft.com/office/drawing/2010/main"/>
                      </a:ext>
                    </a:extLst>
                  </pic:spPr>
                </pic:pic>
              </a:graphicData>
            </a:graphic>
          </wp:inline>
        </w:drawing>
      </w:r>
    </w:p>
    <w:p w14:paraId="2C211E84" w14:textId="7A88CEBD" w:rsidR="00F26895" w:rsidRDefault="00F26895" w:rsidP="00F26895">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w:t>
      </w:r>
      <w:r>
        <w:rPr>
          <w:rFonts w:ascii="TimesNewRomanPSMT" w:hAnsi="TimesNewRomanPSMT"/>
          <w:color w:val="7F7F7F" w:themeColor="text1" w:themeTint="80"/>
          <w:sz w:val="18"/>
          <w:szCs w:val="18"/>
        </w:rPr>
        <w:t xml:space="preserve">vs. sampling date for each site. </w:t>
      </w:r>
      <w:r>
        <w:rPr>
          <w:rFonts w:ascii="TimesNewRomanPSMT" w:hAnsi="TimesNewRomanPSMT"/>
          <w:color w:val="7F7F7F" w:themeColor="text1" w:themeTint="80"/>
          <w:sz w:val="18"/>
          <w:szCs w:val="18"/>
        </w:rPr>
        <w:t xml:space="preserve">Right: </w:t>
      </w:r>
      <w:r>
        <w:rPr>
          <w:rFonts w:ascii="TimesNewRomanPSMT" w:hAnsi="TimesNewRomanPSMT"/>
          <w:color w:val="7F7F7F" w:themeColor="text1" w:themeTint="80"/>
          <w:sz w:val="18"/>
          <w:szCs w:val="18"/>
        </w:rPr>
        <w:t>Cell densities vs. site over all sampling dates</w:t>
      </w:r>
      <w:r>
        <w:rPr>
          <w:rFonts w:ascii="TimesNewRomanPSMT" w:hAnsi="TimesNewRomanPSMT"/>
          <w:color w:val="7F7F7F" w:themeColor="text1" w:themeTint="80"/>
          <w:sz w:val="18"/>
          <w:szCs w:val="18"/>
        </w:rPr>
        <w:t>.</w:t>
      </w:r>
    </w:p>
    <w:p w14:paraId="14180592" w14:textId="77777777" w:rsidR="00F26895" w:rsidRPr="007A29BE" w:rsidRDefault="00F26895" w:rsidP="00E17097">
      <w:pPr>
        <w:pStyle w:val="NormalWeb"/>
        <w:spacing w:before="120" w:beforeAutospacing="0" w:after="0" w:afterAutospacing="0"/>
        <w:jc w:val="both"/>
        <w:rPr>
          <w:rFonts w:ascii="TimesNewRomanPSMT" w:hAnsi="TimesNewRomanPSMT"/>
          <w:color w:val="7F7F7F" w:themeColor="text1" w:themeTint="80"/>
          <w:sz w:val="18"/>
          <w:szCs w:val="18"/>
        </w:rPr>
      </w:pPr>
    </w:p>
    <w:p w14:paraId="60BA2650" w14:textId="77777777" w:rsidR="00E17097" w:rsidRPr="00E17097" w:rsidRDefault="00E17097" w:rsidP="00E17097">
      <w:pPr>
        <w:rPr>
          <w:sz w:val="20"/>
          <w:szCs w:val="20"/>
        </w:rPr>
      </w:pPr>
    </w:p>
    <w:p w14:paraId="2E230A59" w14:textId="66C5C8B9" w:rsidR="00D722E3" w:rsidRDefault="00D722E3" w:rsidP="00D722E3">
      <w:pPr>
        <w:rPr>
          <w:rFonts w:ascii="Calibri" w:hAnsi="Calibri" w:cs="Calibri"/>
          <w:b/>
        </w:rPr>
      </w:pPr>
      <w:r>
        <w:rPr>
          <w:rFonts w:ascii="Calibri" w:hAnsi="Calibri" w:cs="Calibri"/>
          <w:b/>
        </w:rPr>
        <w:t>4 | DISCUSSION</w:t>
      </w:r>
    </w:p>
    <w:p w14:paraId="51E7429B" w14:textId="12C74DFE" w:rsidR="00F45404" w:rsidRPr="00FC73CE" w:rsidRDefault="00F45404" w:rsidP="00F45404">
      <w:pPr>
        <w:pStyle w:val="ListParagraph"/>
        <w:numPr>
          <w:ilvl w:val="0"/>
          <w:numId w:val="11"/>
        </w:numPr>
        <w:rPr>
          <w:b/>
          <w:sz w:val="20"/>
          <w:szCs w:val="20"/>
        </w:rPr>
      </w:pPr>
      <w:proofErr w:type="spellStart"/>
      <w:r w:rsidRPr="00FC73CE">
        <w:rPr>
          <w:b/>
          <w:sz w:val="20"/>
          <w:szCs w:val="20"/>
        </w:rPr>
        <w:t>Thermo</w:t>
      </w:r>
      <w:proofErr w:type="spellEnd"/>
      <w:r w:rsidRPr="00FC73CE">
        <w:rPr>
          <w:b/>
          <w:sz w:val="20"/>
          <w:szCs w:val="20"/>
        </w:rPr>
        <w:t xml:space="preserve"> modelling</w:t>
      </w:r>
    </w:p>
    <w:p w14:paraId="0307D388" w14:textId="521F2C28" w:rsidR="00F45404" w:rsidRDefault="00F45404" w:rsidP="00F45404">
      <w:pPr>
        <w:pStyle w:val="ListParagraph"/>
        <w:numPr>
          <w:ilvl w:val="1"/>
          <w:numId w:val="11"/>
        </w:numPr>
        <w:rPr>
          <w:sz w:val="20"/>
          <w:szCs w:val="20"/>
        </w:rPr>
      </w:pPr>
      <w:r>
        <w:rPr>
          <w:sz w:val="20"/>
          <w:szCs w:val="20"/>
        </w:rPr>
        <w:t xml:space="preserve">Free Energy </w:t>
      </w:r>
    </w:p>
    <w:p w14:paraId="7B411A97" w14:textId="77777777" w:rsidR="003E4C54" w:rsidRDefault="004D0DB7" w:rsidP="004D0DB7">
      <w:pPr>
        <w:pStyle w:val="ListParagraph"/>
        <w:numPr>
          <w:ilvl w:val="2"/>
          <w:numId w:val="11"/>
        </w:numPr>
        <w:rPr>
          <w:sz w:val="20"/>
          <w:szCs w:val="20"/>
        </w:rPr>
      </w:pPr>
      <w:r>
        <w:rPr>
          <w:sz w:val="20"/>
          <w:szCs w:val="20"/>
        </w:rPr>
        <w:t xml:space="preserve">Pyrolusite appears to be a very favorable electron acceptor across all </w:t>
      </w:r>
      <w:proofErr w:type="spellStart"/>
      <w:r>
        <w:rPr>
          <w:sz w:val="20"/>
          <w:szCs w:val="20"/>
        </w:rPr>
        <w:t>DeMMO</w:t>
      </w:r>
      <w:proofErr w:type="spellEnd"/>
      <w:r>
        <w:rPr>
          <w:sz w:val="20"/>
          <w:szCs w:val="20"/>
        </w:rPr>
        <w:t xml:space="preserve"> sites. </w:t>
      </w:r>
    </w:p>
    <w:p w14:paraId="7A6D1844" w14:textId="77777777" w:rsidR="003E4C54" w:rsidRDefault="004D0DB7" w:rsidP="004D0DB7">
      <w:pPr>
        <w:pStyle w:val="ListParagraph"/>
        <w:numPr>
          <w:ilvl w:val="2"/>
          <w:numId w:val="11"/>
        </w:numPr>
        <w:rPr>
          <w:sz w:val="20"/>
          <w:szCs w:val="20"/>
        </w:rPr>
      </w:pPr>
      <w:r>
        <w:rPr>
          <w:sz w:val="20"/>
          <w:szCs w:val="20"/>
        </w:rPr>
        <w:t xml:space="preserve">Coupled to nitrate reduction, pyrite and siderite appear to be very favorable electron donors across all </w:t>
      </w:r>
      <w:proofErr w:type="spellStart"/>
      <w:r>
        <w:rPr>
          <w:sz w:val="20"/>
          <w:szCs w:val="20"/>
        </w:rPr>
        <w:t>DeMMO</w:t>
      </w:r>
      <w:proofErr w:type="spellEnd"/>
      <w:r>
        <w:rPr>
          <w:sz w:val="20"/>
          <w:szCs w:val="20"/>
        </w:rPr>
        <w:t xml:space="preserve"> sites. </w:t>
      </w:r>
    </w:p>
    <w:p w14:paraId="10EDE887" w14:textId="7822FDE8" w:rsidR="004D0DB7" w:rsidRDefault="003E4C54" w:rsidP="004D0DB7">
      <w:pPr>
        <w:pStyle w:val="ListParagraph"/>
        <w:numPr>
          <w:ilvl w:val="2"/>
          <w:numId w:val="11"/>
        </w:numPr>
        <w:rPr>
          <w:sz w:val="20"/>
          <w:szCs w:val="20"/>
        </w:rPr>
      </w:pPr>
      <w:r>
        <w:rPr>
          <w:sz w:val="20"/>
          <w:szCs w:val="20"/>
        </w:rPr>
        <w:t xml:space="preserve">Methane, H2, and elemental sulfur, and acetate are generally good e- donors for reduction of minerals. </w:t>
      </w:r>
    </w:p>
    <w:p w14:paraId="75050AA5" w14:textId="5107E507" w:rsidR="003E4C54" w:rsidRPr="00F45404" w:rsidRDefault="003E4C54" w:rsidP="004D0DB7">
      <w:pPr>
        <w:pStyle w:val="ListParagraph"/>
        <w:numPr>
          <w:ilvl w:val="2"/>
          <w:numId w:val="11"/>
        </w:numPr>
        <w:rPr>
          <w:sz w:val="20"/>
          <w:szCs w:val="20"/>
        </w:rPr>
      </w:pPr>
      <w:commentRangeStart w:id="16"/>
      <w:r>
        <w:rPr>
          <w:sz w:val="20"/>
          <w:szCs w:val="20"/>
        </w:rPr>
        <w:t xml:space="preserve">Hematite, magnetite, and gypsum are good e- acceptors when coupled to H2, CH4, </w:t>
      </w:r>
      <w:proofErr w:type="spellStart"/>
      <w:r>
        <w:rPr>
          <w:sz w:val="20"/>
          <w:szCs w:val="20"/>
        </w:rPr>
        <w:t>elem</w:t>
      </w:r>
      <w:proofErr w:type="spellEnd"/>
      <w:r>
        <w:rPr>
          <w:sz w:val="20"/>
          <w:szCs w:val="20"/>
        </w:rPr>
        <w:t xml:space="preserve"> sulfur, or acetate at D3 and D6, but not D1</w:t>
      </w:r>
      <w:commentRangeEnd w:id="16"/>
      <w:r>
        <w:rPr>
          <w:rStyle w:val="CommentReference"/>
        </w:rPr>
        <w:commentReference w:id="16"/>
      </w:r>
      <w:r>
        <w:rPr>
          <w:sz w:val="20"/>
          <w:szCs w:val="20"/>
        </w:rPr>
        <w:t xml:space="preserve">. </w:t>
      </w:r>
    </w:p>
    <w:p w14:paraId="79832A7E" w14:textId="5B3385A0" w:rsidR="00F45404" w:rsidRDefault="00F45404" w:rsidP="00F45404">
      <w:pPr>
        <w:pStyle w:val="ListParagraph"/>
        <w:numPr>
          <w:ilvl w:val="1"/>
          <w:numId w:val="11"/>
        </w:numPr>
        <w:rPr>
          <w:sz w:val="20"/>
          <w:szCs w:val="20"/>
        </w:rPr>
      </w:pPr>
      <w:r>
        <w:rPr>
          <w:sz w:val="20"/>
          <w:szCs w:val="20"/>
        </w:rPr>
        <w:t>Energy Density</w:t>
      </w:r>
    </w:p>
    <w:p w14:paraId="69E544FD" w14:textId="1B9497F9" w:rsidR="00F45404" w:rsidRDefault="00F45404" w:rsidP="00F45404">
      <w:pPr>
        <w:pStyle w:val="ListParagraph"/>
        <w:numPr>
          <w:ilvl w:val="2"/>
          <w:numId w:val="11"/>
        </w:numPr>
        <w:rPr>
          <w:sz w:val="20"/>
          <w:szCs w:val="20"/>
        </w:rPr>
      </w:pPr>
      <w:r>
        <w:rPr>
          <w:sz w:val="20"/>
          <w:szCs w:val="20"/>
        </w:rPr>
        <w:t xml:space="preserve">The most favorable reactions with minerals in terms of free energy are not always the most energy dense in terms of available solute. Methane and acetate are the most available dissolved reactants; however, acetate concentrations were assumed from bulk DOC concentrations and thus may not be accurately represented here. While methane is not the </w:t>
      </w:r>
      <w:proofErr w:type="gramStart"/>
      <w:r>
        <w:rPr>
          <w:sz w:val="20"/>
          <w:szCs w:val="20"/>
        </w:rPr>
        <w:t>most “tasty”</w:t>
      </w:r>
      <w:proofErr w:type="gramEnd"/>
      <w:r>
        <w:rPr>
          <w:sz w:val="20"/>
          <w:szCs w:val="20"/>
        </w:rPr>
        <w:t xml:space="preserve">, it may be a more representative reactant for in situ metabolisms given its abundance. </w:t>
      </w:r>
    </w:p>
    <w:p w14:paraId="2AD85502" w14:textId="26FBDD5D" w:rsidR="00F45404" w:rsidRPr="00FC73CE" w:rsidRDefault="00F45404" w:rsidP="00027F1E">
      <w:pPr>
        <w:pStyle w:val="ListParagraph"/>
        <w:numPr>
          <w:ilvl w:val="0"/>
          <w:numId w:val="11"/>
        </w:numPr>
        <w:rPr>
          <w:b/>
          <w:sz w:val="20"/>
          <w:szCs w:val="20"/>
        </w:rPr>
      </w:pPr>
      <w:r w:rsidRPr="00FC73CE">
        <w:rPr>
          <w:b/>
          <w:sz w:val="20"/>
          <w:szCs w:val="20"/>
        </w:rPr>
        <w:t>Alpha Diversity</w:t>
      </w:r>
    </w:p>
    <w:p w14:paraId="4CB24B3B" w14:textId="3E4387BC" w:rsidR="00027F1E" w:rsidRDefault="00027F1E" w:rsidP="00F45404">
      <w:pPr>
        <w:pStyle w:val="ListParagraph"/>
        <w:numPr>
          <w:ilvl w:val="1"/>
          <w:numId w:val="11"/>
        </w:numPr>
        <w:rPr>
          <w:sz w:val="20"/>
          <w:szCs w:val="20"/>
        </w:rPr>
      </w:pPr>
      <w:commentRangeStart w:id="17"/>
      <w:r>
        <w:rPr>
          <w:sz w:val="20"/>
          <w:szCs w:val="20"/>
        </w:rPr>
        <w:t xml:space="preserve">We acknowledge the </w:t>
      </w:r>
      <w:proofErr w:type="spellStart"/>
      <w:r>
        <w:rPr>
          <w:sz w:val="20"/>
          <w:szCs w:val="20"/>
        </w:rPr>
        <w:t>undersampling</w:t>
      </w:r>
      <w:proofErr w:type="spellEnd"/>
      <w:r>
        <w:rPr>
          <w:sz w:val="20"/>
          <w:szCs w:val="20"/>
        </w:rPr>
        <w:t xml:space="preserve"> of </w:t>
      </w:r>
      <w:r w:rsidR="00C460D9">
        <w:rPr>
          <w:sz w:val="20"/>
          <w:szCs w:val="20"/>
        </w:rPr>
        <w:t xml:space="preserve">OTUs from </w:t>
      </w:r>
      <w:r>
        <w:rPr>
          <w:sz w:val="20"/>
          <w:szCs w:val="20"/>
        </w:rPr>
        <w:t>DeMMO1 fluid communities</w:t>
      </w:r>
      <w:r w:rsidR="00C460D9">
        <w:rPr>
          <w:sz w:val="20"/>
          <w:szCs w:val="20"/>
        </w:rPr>
        <w:t>; however, the choice was made to use a sequence sampling depth of 3,994</w:t>
      </w:r>
      <w:r w:rsidRPr="00027F1E">
        <w:rPr>
          <w:sz w:val="20"/>
          <w:szCs w:val="20"/>
        </w:rPr>
        <w:t xml:space="preserve"> </w:t>
      </w:r>
      <w:r w:rsidR="00C460D9">
        <w:rPr>
          <w:sz w:val="20"/>
          <w:szCs w:val="20"/>
        </w:rPr>
        <w:t xml:space="preserve">to maximize the number of samples we could include in the data comparison given the heterogeneity in total sequence reads from each community. </w:t>
      </w:r>
      <w:commentRangeEnd w:id="17"/>
      <w:r w:rsidR="00C460D9">
        <w:rPr>
          <w:rStyle w:val="CommentReference"/>
        </w:rPr>
        <w:commentReference w:id="17"/>
      </w:r>
    </w:p>
    <w:p w14:paraId="1D507DD4" w14:textId="77777777" w:rsidR="004D0DB7" w:rsidRDefault="004D0DB7" w:rsidP="00F45404">
      <w:pPr>
        <w:pStyle w:val="ListParagraph"/>
        <w:numPr>
          <w:ilvl w:val="1"/>
          <w:numId w:val="11"/>
        </w:numPr>
        <w:rPr>
          <w:sz w:val="20"/>
          <w:szCs w:val="20"/>
        </w:rPr>
      </w:pPr>
      <w:r>
        <w:rPr>
          <w:sz w:val="20"/>
          <w:szCs w:val="20"/>
        </w:rPr>
        <w:t xml:space="preserve">Higher diversity in fluids vs. biofilms may indicate: </w:t>
      </w:r>
    </w:p>
    <w:p w14:paraId="47D80ADB" w14:textId="377EA8C6" w:rsidR="004D0DB7" w:rsidRDefault="004D0DB7" w:rsidP="004D0DB7">
      <w:pPr>
        <w:pStyle w:val="ListParagraph"/>
        <w:numPr>
          <w:ilvl w:val="2"/>
          <w:numId w:val="11"/>
        </w:numPr>
        <w:rPr>
          <w:sz w:val="20"/>
          <w:szCs w:val="20"/>
        </w:rPr>
      </w:pPr>
      <w:r>
        <w:rPr>
          <w:sz w:val="20"/>
          <w:szCs w:val="20"/>
        </w:rPr>
        <w:t xml:space="preserve">only a subpopulation of fluid community may be capable of biofilm formation </w:t>
      </w:r>
    </w:p>
    <w:p w14:paraId="3FBB1ACD" w14:textId="46254A7A" w:rsidR="004D0DB7" w:rsidRDefault="004D0DB7" w:rsidP="004D0DB7">
      <w:pPr>
        <w:pStyle w:val="ListParagraph"/>
        <w:numPr>
          <w:ilvl w:val="2"/>
          <w:numId w:val="11"/>
        </w:numPr>
        <w:rPr>
          <w:sz w:val="20"/>
          <w:szCs w:val="20"/>
        </w:rPr>
      </w:pPr>
      <w:r>
        <w:rPr>
          <w:sz w:val="20"/>
          <w:szCs w:val="20"/>
        </w:rPr>
        <w:t>competition for resources in fluid communities may drive biofilm formation in organisms capable of utilizing solid substrates for metabolisms</w:t>
      </w:r>
    </w:p>
    <w:p w14:paraId="674EA871" w14:textId="293475DA" w:rsidR="00F45404" w:rsidRPr="00FC73CE" w:rsidRDefault="00F45404" w:rsidP="00F45404">
      <w:pPr>
        <w:pStyle w:val="ListParagraph"/>
        <w:numPr>
          <w:ilvl w:val="0"/>
          <w:numId w:val="11"/>
        </w:numPr>
        <w:rPr>
          <w:b/>
          <w:sz w:val="20"/>
          <w:szCs w:val="20"/>
        </w:rPr>
      </w:pPr>
      <w:r w:rsidRPr="00FC73CE">
        <w:rPr>
          <w:b/>
          <w:sz w:val="20"/>
          <w:szCs w:val="20"/>
        </w:rPr>
        <w:t xml:space="preserve">Beta Diversity </w:t>
      </w:r>
    </w:p>
    <w:p w14:paraId="183F93E3" w14:textId="5F50CCB1" w:rsidR="001A3114" w:rsidRPr="00F14C8C" w:rsidRDefault="001A3114" w:rsidP="00F45404">
      <w:pPr>
        <w:pStyle w:val="ListParagraph"/>
        <w:numPr>
          <w:ilvl w:val="1"/>
          <w:numId w:val="11"/>
        </w:numPr>
        <w:rPr>
          <w:rFonts w:ascii="Calibri" w:hAnsi="Calibri" w:cs="Calibri"/>
          <w:b/>
        </w:rPr>
      </w:pPr>
      <w:r>
        <w:rPr>
          <w:sz w:val="20"/>
          <w:szCs w:val="20"/>
        </w:rPr>
        <w:t xml:space="preserve">D1, 3, and 6 communities more similar within a site than between sites, indicating fluid geochemistry ultimately controls community composition </w:t>
      </w:r>
    </w:p>
    <w:p w14:paraId="39C99D42" w14:textId="1A55AFA0" w:rsidR="00F14C8C" w:rsidRPr="001A3114" w:rsidRDefault="00F14C8C" w:rsidP="00F45404">
      <w:pPr>
        <w:pStyle w:val="ListParagraph"/>
        <w:numPr>
          <w:ilvl w:val="1"/>
          <w:numId w:val="11"/>
        </w:numPr>
        <w:rPr>
          <w:rFonts w:ascii="Calibri" w:hAnsi="Calibri" w:cs="Calibri"/>
          <w:b/>
        </w:rPr>
      </w:pPr>
      <w:r>
        <w:rPr>
          <w:sz w:val="20"/>
          <w:szCs w:val="20"/>
        </w:rPr>
        <w:t xml:space="preserve">In experiments with pyrolusite, high enrichments of </w:t>
      </w:r>
      <w:proofErr w:type="spellStart"/>
      <w:r>
        <w:rPr>
          <w:sz w:val="20"/>
          <w:szCs w:val="20"/>
        </w:rPr>
        <w:t>Desulfobulbaceae</w:t>
      </w:r>
      <w:proofErr w:type="spellEnd"/>
      <w:r>
        <w:rPr>
          <w:sz w:val="20"/>
          <w:szCs w:val="20"/>
        </w:rPr>
        <w:t xml:space="preserve"> and </w:t>
      </w:r>
      <w:proofErr w:type="spellStart"/>
      <w:r>
        <w:rPr>
          <w:sz w:val="20"/>
          <w:szCs w:val="20"/>
        </w:rPr>
        <w:t>Thermodesulfovibrionia</w:t>
      </w:r>
      <w:proofErr w:type="spellEnd"/>
      <w:r>
        <w:rPr>
          <w:sz w:val="20"/>
          <w:szCs w:val="20"/>
        </w:rPr>
        <w:t xml:space="preserve"> were observed, suggesting these taxa may derive </w:t>
      </w:r>
      <w:proofErr w:type="spellStart"/>
      <w:r>
        <w:rPr>
          <w:sz w:val="20"/>
          <w:szCs w:val="20"/>
        </w:rPr>
        <w:t>enegy</w:t>
      </w:r>
      <w:proofErr w:type="spellEnd"/>
      <w:r>
        <w:rPr>
          <w:sz w:val="20"/>
          <w:szCs w:val="20"/>
        </w:rPr>
        <w:t xml:space="preserve"> from pyrolusite reduction.</w:t>
      </w:r>
    </w:p>
    <w:p w14:paraId="4DB37448" w14:textId="7DED6B70" w:rsidR="00D722E3" w:rsidRPr="0030190C" w:rsidRDefault="00CF3859" w:rsidP="00F45404">
      <w:pPr>
        <w:pStyle w:val="ListParagraph"/>
        <w:numPr>
          <w:ilvl w:val="1"/>
          <w:numId w:val="11"/>
        </w:numPr>
        <w:rPr>
          <w:rFonts w:ascii="Calibri" w:hAnsi="Calibri" w:cs="Calibri"/>
          <w:b/>
        </w:rPr>
      </w:pPr>
      <w:r>
        <w:rPr>
          <w:sz w:val="20"/>
          <w:szCs w:val="20"/>
        </w:rPr>
        <w:t>NMDS s</w:t>
      </w:r>
      <w:r w:rsidR="004D0848">
        <w:rPr>
          <w:sz w:val="20"/>
          <w:szCs w:val="20"/>
        </w:rPr>
        <w:t>eparation of D1,3,6 communities from ambient background controls - therefore no indication of contamination</w:t>
      </w:r>
    </w:p>
    <w:p w14:paraId="5EB36DAF" w14:textId="5CFE8BAF" w:rsidR="005654B9" w:rsidRPr="005654B9" w:rsidRDefault="0030190C" w:rsidP="005654B9">
      <w:pPr>
        <w:pStyle w:val="ListParagraph"/>
        <w:numPr>
          <w:ilvl w:val="0"/>
          <w:numId w:val="11"/>
        </w:numPr>
        <w:rPr>
          <w:rFonts w:ascii="Calibri" w:hAnsi="Calibri" w:cs="Calibri"/>
          <w:b/>
        </w:rPr>
      </w:pPr>
      <w:r w:rsidRPr="00FC73CE">
        <w:rPr>
          <w:b/>
          <w:sz w:val="20"/>
          <w:szCs w:val="20"/>
        </w:rPr>
        <w:t xml:space="preserve">Biofilm cell density estimates </w:t>
      </w:r>
    </w:p>
    <w:p w14:paraId="207BD79E" w14:textId="77777777" w:rsidR="003B0322" w:rsidRPr="003B0322" w:rsidRDefault="0044211A" w:rsidP="0030190C">
      <w:pPr>
        <w:pStyle w:val="ListParagraph"/>
        <w:numPr>
          <w:ilvl w:val="1"/>
          <w:numId w:val="11"/>
        </w:numPr>
        <w:rPr>
          <w:b/>
          <w:sz w:val="20"/>
          <w:szCs w:val="20"/>
        </w:rPr>
      </w:pPr>
      <w:r>
        <w:rPr>
          <w:sz w:val="20"/>
          <w:szCs w:val="20"/>
        </w:rPr>
        <w:lastRenderedPageBreak/>
        <w:t xml:space="preserve">Higher cell densities on parallel controls vs. minerals </w:t>
      </w:r>
      <w:r w:rsidR="005654B9">
        <w:rPr>
          <w:sz w:val="20"/>
          <w:szCs w:val="20"/>
        </w:rPr>
        <w:t>suggests that in most cases, minerals promote biofilm formation</w:t>
      </w:r>
      <w:r w:rsidR="003B0322">
        <w:rPr>
          <w:sz w:val="20"/>
          <w:szCs w:val="20"/>
        </w:rPr>
        <w:t xml:space="preserve">, which may indicate that the minerals provide a source of energy for members of the biofilms. Minerals rich in iron and manganese promoted higher densities than calcite and muscovite, suggesting potential iron and manganese metabolisms. </w:t>
      </w:r>
    </w:p>
    <w:p w14:paraId="52E6F63A" w14:textId="2792CBBD" w:rsidR="0044211A" w:rsidRPr="00EE79B7" w:rsidRDefault="00636C3E" w:rsidP="0030190C">
      <w:pPr>
        <w:pStyle w:val="ListParagraph"/>
        <w:numPr>
          <w:ilvl w:val="1"/>
          <w:numId w:val="11"/>
        </w:numPr>
        <w:rPr>
          <w:b/>
          <w:sz w:val="20"/>
          <w:szCs w:val="20"/>
        </w:rPr>
      </w:pPr>
      <w:r>
        <w:rPr>
          <w:sz w:val="20"/>
          <w:szCs w:val="20"/>
        </w:rPr>
        <w:t xml:space="preserve">Communities colonizing </w:t>
      </w:r>
      <w:r w:rsidR="005654B9">
        <w:rPr>
          <w:sz w:val="20"/>
          <w:szCs w:val="20"/>
        </w:rPr>
        <w:t xml:space="preserve">DeMMO1 pyrite and magnetite internal controls (glass) </w:t>
      </w:r>
      <w:r>
        <w:rPr>
          <w:sz w:val="20"/>
          <w:szCs w:val="20"/>
        </w:rPr>
        <w:t xml:space="preserve">were </w:t>
      </w:r>
      <w:proofErr w:type="gramStart"/>
      <w:r>
        <w:rPr>
          <w:sz w:val="20"/>
          <w:szCs w:val="20"/>
        </w:rPr>
        <w:t>more</w:t>
      </w:r>
      <w:r w:rsidR="005654B9">
        <w:rPr>
          <w:sz w:val="20"/>
          <w:szCs w:val="20"/>
        </w:rPr>
        <w:t xml:space="preserve"> den</w:t>
      </w:r>
      <w:r>
        <w:rPr>
          <w:sz w:val="20"/>
          <w:szCs w:val="20"/>
        </w:rPr>
        <w:t>se</w:t>
      </w:r>
      <w:proofErr w:type="gramEnd"/>
      <w:r>
        <w:rPr>
          <w:sz w:val="20"/>
          <w:szCs w:val="20"/>
        </w:rPr>
        <w:t xml:space="preserve"> than their mineral counterparts. Mineral</w:t>
      </w:r>
      <w:r w:rsidR="005654B9">
        <w:rPr>
          <w:sz w:val="20"/>
          <w:szCs w:val="20"/>
        </w:rPr>
        <w:t xml:space="preserve"> dissolution may provide aqueous Fe2+</w:t>
      </w:r>
      <w:r>
        <w:rPr>
          <w:sz w:val="20"/>
          <w:szCs w:val="20"/>
        </w:rPr>
        <w:t>, a phase that may be preferred by these communities. Alternatively, a temporal shift in fluid conditions may explain this observation, given that on average cell densities were higher in DeMMO1 experiments during August 2017 than November 2017.</w:t>
      </w:r>
    </w:p>
    <w:p w14:paraId="459ED937" w14:textId="47A7801D" w:rsidR="00EE79B7" w:rsidRPr="0044211A" w:rsidRDefault="00EE79B7" w:rsidP="0030190C">
      <w:pPr>
        <w:pStyle w:val="ListParagraph"/>
        <w:numPr>
          <w:ilvl w:val="1"/>
          <w:numId w:val="11"/>
        </w:numPr>
        <w:rPr>
          <w:b/>
          <w:sz w:val="20"/>
          <w:szCs w:val="20"/>
        </w:rPr>
      </w:pPr>
      <w:r>
        <w:rPr>
          <w:sz w:val="20"/>
          <w:szCs w:val="20"/>
        </w:rPr>
        <w:t xml:space="preserve">Consistent cell morphologies across glass-colonizing biofilms vs. </w:t>
      </w:r>
      <w:r w:rsidR="003E4C54">
        <w:rPr>
          <w:sz w:val="20"/>
          <w:szCs w:val="20"/>
        </w:rPr>
        <w:t xml:space="preserve">heterogenous morphologies across </w:t>
      </w:r>
      <w:r>
        <w:rPr>
          <w:sz w:val="20"/>
          <w:szCs w:val="20"/>
        </w:rPr>
        <w:t>minerals suggests minerals promotes colonization of distinct subpopulations</w:t>
      </w:r>
    </w:p>
    <w:p w14:paraId="60547020" w14:textId="510B46FF" w:rsidR="0030190C" w:rsidRPr="00AB6B5C" w:rsidRDefault="004E76A5" w:rsidP="0030190C">
      <w:pPr>
        <w:pStyle w:val="ListParagraph"/>
        <w:numPr>
          <w:ilvl w:val="1"/>
          <w:numId w:val="11"/>
        </w:numPr>
        <w:rPr>
          <w:b/>
          <w:sz w:val="20"/>
          <w:szCs w:val="20"/>
        </w:rPr>
      </w:pPr>
      <w:r w:rsidRPr="004E76A5">
        <w:rPr>
          <w:sz w:val="20"/>
          <w:szCs w:val="20"/>
        </w:rPr>
        <w:t xml:space="preserve">Wanger </w:t>
      </w:r>
      <w:r>
        <w:rPr>
          <w:sz w:val="20"/>
          <w:szCs w:val="20"/>
        </w:rPr>
        <w:t>et al. 2006 suggested potentially long timescales for biofilm development</w:t>
      </w:r>
      <w:r w:rsidR="00BC3549">
        <w:rPr>
          <w:sz w:val="20"/>
          <w:szCs w:val="20"/>
        </w:rPr>
        <w:t>/cell doubling time</w:t>
      </w:r>
      <w:r>
        <w:rPr>
          <w:sz w:val="20"/>
          <w:szCs w:val="20"/>
        </w:rPr>
        <w:t xml:space="preserve"> in SA gold mine, our data show that biofilms and dense EPS can form r</w:t>
      </w:r>
      <w:r w:rsidR="00BC3549">
        <w:rPr>
          <w:sz w:val="20"/>
          <w:szCs w:val="20"/>
        </w:rPr>
        <w:t>apidly where energy-rich substrates are available</w:t>
      </w:r>
    </w:p>
    <w:p w14:paraId="38AF89F1" w14:textId="622B8DF8" w:rsidR="00AB6B5C" w:rsidRPr="00E451E7" w:rsidRDefault="00AB6B5C" w:rsidP="0030190C">
      <w:pPr>
        <w:pStyle w:val="ListParagraph"/>
        <w:numPr>
          <w:ilvl w:val="1"/>
          <w:numId w:val="11"/>
        </w:numPr>
        <w:rPr>
          <w:b/>
          <w:sz w:val="20"/>
          <w:szCs w:val="20"/>
        </w:rPr>
      </w:pPr>
      <w:r>
        <w:rPr>
          <w:sz w:val="20"/>
          <w:szCs w:val="20"/>
        </w:rPr>
        <w:t xml:space="preserve">Possible extrapolation of densities based on percent mineral composition from </w:t>
      </w:r>
      <w:proofErr w:type="spellStart"/>
      <w:r>
        <w:rPr>
          <w:sz w:val="20"/>
          <w:szCs w:val="20"/>
        </w:rPr>
        <w:t>Caddey</w:t>
      </w:r>
      <w:proofErr w:type="spellEnd"/>
      <w:r>
        <w:rPr>
          <w:sz w:val="20"/>
          <w:szCs w:val="20"/>
        </w:rPr>
        <w:t xml:space="preserve"> 1991, could compare to densities estimated from native rock experiments </w:t>
      </w:r>
    </w:p>
    <w:p w14:paraId="3BF25788" w14:textId="483A9FD7" w:rsidR="00E451E7" w:rsidRPr="00AB6B5C" w:rsidRDefault="00E451E7" w:rsidP="0030190C">
      <w:pPr>
        <w:pStyle w:val="ListParagraph"/>
        <w:numPr>
          <w:ilvl w:val="1"/>
          <w:numId w:val="11"/>
        </w:numPr>
        <w:rPr>
          <w:b/>
          <w:sz w:val="20"/>
          <w:szCs w:val="20"/>
        </w:rPr>
      </w:pPr>
      <w:r>
        <w:rPr>
          <w:sz w:val="20"/>
          <w:szCs w:val="20"/>
        </w:rPr>
        <w:t xml:space="preserve">Biogenic structures observed in SEM images may play a role in EET </w:t>
      </w:r>
    </w:p>
    <w:p w14:paraId="7E93DE2B" w14:textId="5E1FE54B" w:rsidR="00D722E3" w:rsidRDefault="00D722E3" w:rsidP="00D722E3">
      <w:pPr>
        <w:rPr>
          <w:rFonts w:ascii="Calibri" w:hAnsi="Calibri" w:cs="Calibri"/>
          <w:b/>
        </w:rPr>
      </w:pPr>
      <w:r>
        <w:rPr>
          <w:rFonts w:ascii="Calibri" w:hAnsi="Calibri" w:cs="Calibri"/>
          <w:b/>
        </w:rPr>
        <w:t>5 | CONCLUSION</w:t>
      </w:r>
    </w:p>
    <w:p w14:paraId="26557080" w14:textId="40BE78D1" w:rsidR="00D722E3" w:rsidRPr="00F025D6" w:rsidRDefault="00AB6B5C" w:rsidP="00AB6B5C">
      <w:pPr>
        <w:pStyle w:val="ListParagraph"/>
        <w:numPr>
          <w:ilvl w:val="0"/>
          <w:numId w:val="11"/>
        </w:numPr>
        <w:rPr>
          <w:b/>
          <w:sz w:val="20"/>
          <w:szCs w:val="20"/>
        </w:rPr>
      </w:pPr>
      <w:r>
        <w:rPr>
          <w:sz w:val="20"/>
          <w:szCs w:val="20"/>
        </w:rPr>
        <w:t xml:space="preserve">All data taken together suggest pyrolusite is very favorable electron acceptor at </w:t>
      </w:r>
      <w:proofErr w:type="spellStart"/>
      <w:r>
        <w:rPr>
          <w:sz w:val="20"/>
          <w:szCs w:val="20"/>
        </w:rPr>
        <w:t>DeMMO</w:t>
      </w:r>
      <w:proofErr w:type="spellEnd"/>
      <w:r>
        <w:rPr>
          <w:sz w:val="20"/>
          <w:szCs w:val="20"/>
        </w:rPr>
        <w:t xml:space="preserve">, especially when coupled to organic carbon, elemental sulfur, or methane, which promotes the growth of </w:t>
      </w:r>
      <w:proofErr w:type="spellStart"/>
      <w:r>
        <w:rPr>
          <w:sz w:val="20"/>
          <w:szCs w:val="20"/>
        </w:rPr>
        <w:t>Thermodesulfovibrionia</w:t>
      </w:r>
      <w:proofErr w:type="spellEnd"/>
      <w:r>
        <w:rPr>
          <w:sz w:val="20"/>
          <w:szCs w:val="20"/>
        </w:rPr>
        <w:t xml:space="preserve"> and </w:t>
      </w:r>
      <w:proofErr w:type="spellStart"/>
      <w:r>
        <w:rPr>
          <w:sz w:val="20"/>
          <w:szCs w:val="20"/>
        </w:rPr>
        <w:t>Desulfobulbaceae</w:t>
      </w:r>
      <w:proofErr w:type="spellEnd"/>
      <w:r>
        <w:rPr>
          <w:sz w:val="20"/>
          <w:szCs w:val="20"/>
        </w:rPr>
        <w:t xml:space="preserve"> in dense biofilm communities. </w:t>
      </w:r>
    </w:p>
    <w:p w14:paraId="662DBCFB" w14:textId="77777777" w:rsidR="00F025D6" w:rsidRPr="00F03C69" w:rsidRDefault="00F025D6" w:rsidP="00AB6B5C">
      <w:pPr>
        <w:pStyle w:val="ListParagraph"/>
        <w:numPr>
          <w:ilvl w:val="0"/>
          <w:numId w:val="11"/>
        </w:numPr>
        <w:rPr>
          <w:b/>
          <w:sz w:val="20"/>
          <w:szCs w:val="20"/>
        </w:rPr>
      </w:pPr>
    </w:p>
    <w:p w14:paraId="11633ADA" w14:textId="77777777" w:rsidR="00F03C69" w:rsidRPr="00F03C69" w:rsidRDefault="00F03C69" w:rsidP="00F03C69">
      <w:pPr>
        <w:pStyle w:val="ListParagraph"/>
        <w:ind w:left="1080"/>
        <w:rPr>
          <w:b/>
          <w:sz w:val="20"/>
          <w:szCs w:val="20"/>
        </w:rPr>
      </w:pPr>
    </w:p>
    <w:p w14:paraId="2C61716E" w14:textId="03A62B6D" w:rsidR="00F03C69" w:rsidRDefault="00F03C69" w:rsidP="00F03C69">
      <w:pPr>
        <w:rPr>
          <w:rFonts w:ascii="Calibri" w:hAnsi="Calibri" w:cs="Calibri"/>
          <w:b/>
        </w:rPr>
      </w:pPr>
      <w:r>
        <w:rPr>
          <w:rFonts w:ascii="Calibri" w:hAnsi="Calibri" w:cs="Calibri"/>
          <w:b/>
        </w:rPr>
        <w:t>ACKNOWLEDGEMENTS</w:t>
      </w:r>
    </w:p>
    <w:p w14:paraId="10FC331F" w14:textId="23516606" w:rsidR="00F03C69" w:rsidRPr="00F03C69" w:rsidRDefault="00F03C69" w:rsidP="00F03C69">
      <w:pPr>
        <w:pStyle w:val="ListParagraph"/>
        <w:numPr>
          <w:ilvl w:val="0"/>
          <w:numId w:val="11"/>
        </w:numPr>
        <w:rPr>
          <w:sz w:val="20"/>
          <w:szCs w:val="20"/>
        </w:rPr>
      </w:pPr>
      <w:r w:rsidRPr="00F03C69">
        <w:rPr>
          <w:sz w:val="20"/>
          <w:szCs w:val="20"/>
        </w:rPr>
        <w:t xml:space="preserve">This work was supported by NASA Headquarters under the NASA Earth and Space Science Fellowship Program – </w:t>
      </w:r>
      <w:r>
        <w:rPr>
          <w:sz w:val="20"/>
          <w:szCs w:val="20"/>
        </w:rPr>
        <w:t>“</w:t>
      </w:r>
      <w:r w:rsidRPr="00F03C69">
        <w:rPr>
          <w:sz w:val="20"/>
          <w:szCs w:val="20"/>
        </w:rPr>
        <w:t xml:space="preserve">Grant </w:t>
      </w:r>
      <w:r w:rsidRPr="00F03C69">
        <w:rPr>
          <w:color w:val="222222"/>
          <w:sz w:val="20"/>
          <w:szCs w:val="20"/>
          <w:shd w:val="clear" w:color="auto" w:fill="FFFFFF"/>
        </w:rPr>
        <w:t>80NSSC18K1267</w:t>
      </w:r>
      <w:r w:rsidRPr="00F03C69">
        <w:rPr>
          <w:color w:val="222222"/>
          <w:sz w:val="20"/>
          <w:szCs w:val="20"/>
          <w:shd w:val="clear" w:color="auto" w:fill="FFFFFF"/>
        </w:rPr>
        <w:t>”</w:t>
      </w:r>
      <w:r>
        <w:rPr>
          <w:color w:val="222222"/>
          <w:sz w:val="20"/>
          <w:szCs w:val="20"/>
          <w:shd w:val="clear" w:color="auto" w:fill="FFFFFF"/>
        </w:rPr>
        <w:t xml:space="preserve"> and </w:t>
      </w:r>
      <w:commentRangeStart w:id="18"/>
      <w:r>
        <w:rPr>
          <w:color w:val="222222"/>
          <w:sz w:val="20"/>
          <w:szCs w:val="20"/>
          <w:shd w:val="clear" w:color="auto" w:fill="FFFFFF"/>
        </w:rPr>
        <w:t xml:space="preserve">Exobiology Grant “…” </w:t>
      </w:r>
      <w:commentRangeEnd w:id="18"/>
      <w:r>
        <w:rPr>
          <w:rStyle w:val="CommentReference"/>
        </w:rPr>
        <w:commentReference w:id="18"/>
      </w:r>
      <w:r w:rsidR="00074538">
        <w:rPr>
          <w:color w:val="222222"/>
          <w:sz w:val="20"/>
          <w:szCs w:val="20"/>
          <w:shd w:val="clear" w:color="auto" w:fill="FFFFFF"/>
        </w:rPr>
        <w:t xml:space="preserve">and Northwestern University. </w:t>
      </w:r>
    </w:p>
    <w:p w14:paraId="18DC99C4" w14:textId="668ED7DD" w:rsidR="00F03C69" w:rsidRPr="00F03C69" w:rsidRDefault="00F03C69" w:rsidP="00F03C69">
      <w:pPr>
        <w:pStyle w:val="ListParagraph"/>
        <w:numPr>
          <w:ilvl w:val="0"/>
          <w:numId w:val="11"/>
        </w:numPr>
        <w:rPr>
          <w:rFonts w:ascii="Calibri" w:hAnsi="Calibri" w:cs="Calibri"/>
          <w:sz w:val="20"/>
          <w:szCs w:val="20"/>
        </w:rPr>
      </w:pPr>
      <w:r w:rsidRPr="00F03C69">
        <w:rPr>
          <w:sz w:val="20"/>
          <w:szCs w:val="20"/>
        </w:rPr>
        <w:t>Undergrads: Bethany</w:t>
      </w:r>
      <w:r>
        <w:rPr>
          <w:sz w:val="20"/>
          <w:szCs w:val="20"/>
        </w:rPr>
        <w:t xml:space="preserve"> </w:t>
      </w:r>
      <w:proofErr w:type="spellStart"/>
      <w:r>
        <w:rPr>
          <w:sz w:val="20"/>
          <w:szCs w:val="20"/>
        </w:rPr>
        <w:t>Ketchem</w:t>
      </w:r>
      <w:proofErr w:type="spellEnd"/>
      <w:r>
        <w:rPr>
          <w:sz w:val="20"/>
          <w:szCs w:val="20"/>
        </w:rPr>
        <w:t xml:space="preserve">, Annamarie </w:t>
      </w:r>
      <w:proofErr w:type="spellStart"/>
      <w:r>
        <w:rPr>
          <w:sz w:val="20"/>
          <w:szCs w:val="20"/>
        </w:rPr>
        <w:t>Jedziniak</w:t>
      </w:r>
      <w:proofErr w:type="spellEnd"/>
    </w:p>
    <w:p w14:paraId="745DA443" w14:textId="0ED33B33" w:rsidR="00F03C69" w:rsidRPr="00F03C69" w:rsidRDefault="00F03C69" w:rsidP="00F03C69">
      <w:pPr>
        <w:pStyle w:val="ListParagraph"/>
        <w:numPr>
          <w:ilvl w:val="0"/>
          <w:numId w:val="11"/>
        </w:numPr>
        <w:rPr>
          <w:rFonts w:ascii="Calibri" w:hAnsi="Calibri" w:cs="Calibri"/>
          <w:sz w:val="20"/>
          <w:szCs w:val="20"/>
        </w:rPr>
      </w:pPr>
      <w:r>
        <w:rPr>
          <w:sz w:val="20"/>
          <w:szCs w:val="20"/>
        </w:rPr>
        <w:t>SURF staff: Tom Regan</w:t>
      </w:r>
    </w:p>
    <w:p w14:paraId="68FEDF24" w14:textId="50C9BE1A" w:rsidR="00F03C69" w:rsidRPr="00F03C69" w:rsidRDefault="00F03C69" w:rsidP="00F03C69">
      <w:pPr>
        <w:pStyle w:val="ListParagraph"/>
        <w:numPr>
          <w:ilvl w:val="0"/>
          <w:numId w:val="11"/>
        </w:numPr>
        <w:rPr>
          <w:sz w:val="20"/>
          <w:szCs w:val="20"/>
        </w:rPr>
      </w:pPr>
      <w:r w:rsidRPr="00F03C69">
        <w:rPr>
          <w:color w:val="000000"/>
          <w:sz w:val="20"/>
          <w:szCs w:val="20"/>
          <w:shd w:val="clear" w:color="auto" w:fill="FFFFFF"/>
        </w:rPr>
        <w:t>This work made use of the EPIC facility of Northwestern University’s NU</w:t>
      </w:r>
      <w:r w:rsidRPr="00F03C69">
        <w:rPr>
          <w:rStyle w:val="Emphasis"/>
          <w:color w:val="000000"/>
          <w:sz w:val="20"/>
          <w:szCs w:val="20"/>
          <w:bdr w:val="none" w:sz="0" w:space="0" w:color="auto" w:frame="1"/>
          <w:shd w:val="clear" w:color="auto" w:fill="FFFFFF"/>
        </w:rPr>
        <w:t>ANCE</w:t>
      </w:r>
      <w:r w:rsidRPr="00F03C69">
        <w:rPr>
          <w:color w:val="000000"/>
          <w:sz w:val="20"/>
          <w:szCs w:val="20"/>
          <w:shd w:val="clear" w:color="auto" w:fill="FFFFFF"/>
        </w:rPr>
        <w:t> Center, which has received support from the Soft and Hybrid Nanotechnology Experimental (</w:t>
      </w:r>
      <w:proofErr w:type="spellStart"/>
      <w:r w:rsidRPr="00F03C69">
        <w:rPr>
          <w:color w:val="000000"/>
          <w:sz w:val="20"/>
          <w:szCs w:val="20"/>
          <w:shd w:val="clear" w:color="auto" w:fill="FFFFFF"/>
        </w:rPr>
        <w:t>SHyNE</w:t>
      </w:r>
      <w:proofErr w:type="spellEnd"/>
      <w:r w:rsidRPr="00F03C69">
        <w:rPr>
          <w:color w:val="000000"/>
          <w:sz w:val="20"/>
          <w:szCs w:val="20"/>
          <w:shd w:val="clear" w:color="auto" w:fill="FFFFFF"/>
        </w:rPr>
        <w:t>) Resource (NSF ECCS-1542205); the MRSEC program (NSF DMR-1720139) at the Materials Research Center; the International Institute for Nanotechnology (IIN); the Keck Foundation; and the State of Illinois, through the IIN.</w:t>
      </w:r>
    </w:p>
    <w:p w14:paraId="0778D49F" w14:textId="77777777" w:rsidR="00F03C69" w:rsidRPr="00F03C69" w:rsidRDefault="00F03C69" w:rsidP="00F03C69">
      <w:pPr>
        <w:rPr>
          <w:b/>
          <w:sz w:val="20"/>
          <w:szCs w:val="20"/>
        </w:rPr>
      </w:pPr>
    </w:p>
    <w:sectPr w:rsidR="00F03C69" w:rsidRPr="00F03C69" w:rsidSect="00FC023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itlin Page Casar" w:date="2019-04-14T17:53:00Z" w:initials="CPC">
    <w:p w14:paraId="4A97ACC2" w14:textId="3AA8AF48" w:rsidR="00137EB0" w:rsidRDefault="00137EB0">
      <w:pPr>
        <w:pStyle w:val="CommentText"/>
      </w:pPr>
      <w:r>
        <w:rPr>
          <w:rStyle w:val="CommentReference"/>
        </w:rPr>
        <w:annotationRef/>
      </w:r>
      <w:proofErr w:type="gramStart"/>
      <w:r>
        <w:t>Unfortunately</w:t>
      </w:r>
      <w:proofErr w:type="gramEnd"/>
      <w:r>
        <w:t xml:space="preserve"> they don’t detail the basalt chip microcosm prep and I can’t track down the two articles they cited for this. They do list those methods in their appendix but its available by written request only. </w:t>
      </w:r>
    </w:p>
  </w:comment>
  <w:comment w:id="1" w:author="Caitlin Page Casar" w:date="2019-04-14T15:44:00Z" w:initials="CPC">
    <w:p w14:paraId="2C2FF94B" w14:textId="551FB9EA" w:rsidR="00CF12FF" w:rsidRPr="00F17BC6" w:rsidRDefault="00CF12FF" w:rsidP="00CF12FF">
      <w:pPr>
        <w:pStyle w:val="NormalWeb"/>
        <w:rPr>
          <w:sz w:val="20"/>
          <w:szCs w:val="20"/>
        </w:rPr>
      </w:pPr>
      <w:r>
        <w:rPr>
          <w:rStyle w:val="CommentReference"/>
        </w:rPr>
        <w:annotationRef/>
      </w:r>
      <w:r>
        <w:rPr>
          <w:bCs/>
          <w:sz w:val="20"/>
          <w:szCs w:val="20"/>
        </w:rPr>
        <w:t xml:space="preserve">This isn’t an issue for us </w:t>
      </w:r>
      <w:proofErr w:type="spellStart"/>
      <w:r>
        <w:rPr>
          <w:bCs/>
          <w:sz w:val="20"/>
          <w:szCs w:val="20"/>
        </w:rPr>
        <w:t>bc</w:t>
      </w:r>
      <w:proofErr w:type="spellEnd"/>
      <w:r>
        <w:rPr>
          <w:bCs/>
          <w:sz w:val="20"/>
          <w:szCs w:val="20"/>
        </w:rPr>
        <w:t xml:space="preserve"> our boreholes were allowed to stabilize before adding cartridge experiments. But </w:t>
      </w:r>
      <w:r w:rsidRPr="00F17BC6">
        <w:rPr>
          <w:bCs/>
          <w:sz w:val="20"/>
          <w:szCs w:val="20"/>
        </w:rPr>
        <w:t>I’m skeptical of their statements because they also state “</w:t>
      </w:r>
      <w:r w:rsidRPr="00F17BC6">
        <w:rPr>
          <w:sz w:val="20"/>
          <w:szCs w:val="20"/>
        </w:rPr>
        <w:t>While the amount of biomass in the deep subsurface is extremely low, biofilms in these environments appear to be fundamentally similar in structure and function to those found in aqueous habitats at the Earth’s surface.”</w:t>
      </w:r>
      <w:r>
        <w:rPr>
          <w:sz w:val="20"/>
          <w:szCs w:val="20"/>
        </w:rPr>
        <w:t xml:space="preserve"> Recent subsurface biofilm density estimates instead suggest very high biomass. Further, I don’t think it’s fair to say that their fracture surface samples were “pristine” and “more representative” than the cartridge experiments by Moser 2003 when they have samples from only one location that is not the same locality as the Moser study, and they obtained uncontaminated samples by removing 10kg rock from the drilling interface and finding a zone of alteration with reducing fluids. They don’t say how large their samples were or how many they imaged or how they calculated their biofilm densities, and their ORP measurements came from a borehole 40m from the fracture they</w:t>
      </w:r>
      <w:r>
        <w:t xml:space="preserve"> </w:t>
      </w:r>
      <w:r>
        <w:rPr>
          <w:sz w:val="20"/>
          <w:szCs w:val="20"/>
        </w:rPr>
        <w:t xml:space="preserve">sampled. They also didn’t describe community composition, which is likely completely different than that of Moser 2003 experiments. In summary, I’m not convinced their samples were comparable to the Moser study.   </w:t>
      </w:r>
    </w:p>
    <w:p w14:paraId="64AAB7BC" w14:textId="78A34F8E" w:rsidR="00CF12FF" w:rsidRDefault="00CF12FF">
      <w:pPr>
        <w:pStyle w:val="CommentText"/>
      </w:pPr>
    </w:p>
  </w:comment>
  <w:comment w:id="2" w:author="Caitlin Page Casar" w:date="2019-04-14T15:45:00Z" w:initials="CPC">
    <w:p w14:paraId="65FFE5CA" w14:textId="788760DC" w:rsidR="00CF12FF" w:rsidRPr="00CF12FF" w:rsidRDefault="00CF12FF" w:rsidP="00CF12FF">
      <w:pPr>
        <w:pStyle w:val="NormalWeb"/>
        <w:numPr>
          <w:ilvl w:val="3"/>
          <w:numId w:val="1"/>
        </w:numPr>
        <w:rPr>
          <w:sz w:val="20"/>
          <w:szCs w:val="20"/>
        </w:rPr>
      </w:pPr>
      <w:r>
        <w:rPr>
          <w:rStyle w:val="CommentReference"/>
        </w:rPr>
        <w:annotationRef/>
      </w:r>
      <w:r>
        <w:rPr>
          <w:sz w:val="20"/>
          <w:szCs w:val="20"/>
        </w:rPr>
        <w:t xml:space="preserve">Took 5 samples from a borehole: 3 fluid samples, one biofilm at air/water interface of borehole, and one cartridge experiment. No borehole packer, just a stopper with a tube on it put inside the borehole connected to a cartridge filled with locally sourced quartzite. </w:t>
      </w:r>
    </w:p>
    <w:p w14:paraId="477B6BB7" w14:textId="64E03188" w:rsidR="00CF12FF" w:rsidRDefault="00CF12FF">
      <w:pPr>
        <w:pStyle w:val="CommentText"/>
      </w:pPr>
    </w:p>
  </w:comment>
  <w:comment w:id="3" w:author="Caitlin Page Casar" w:date="2019-04-14T15:47:00Z" w:initials="CPC">
    <w:p w14:paraId="42F4DCB3" w14:textId="06D77EA5" w:rsidR="00CF12FF" w:rsidRPr="00CF12FF" w:rsidRDefault="00CF12FF" w:rsidP="00CF12FF">
      <w:pPr>
        <w:pStyle w:val="NormalWeb"/>
        <w:rPr>
          <w:sz w:val="20"/>
          <w:szCs w:val="20"/>
        </w:rPr>
      </w:pPr>
      <w:r>
        <w:rPr>
          <w:rStyle w:val="CommentReference"/>
        </w:rPr>
        <w:annotationRef/>
      </w:r>
      <w:r>
        <w:rPr>
          <w:sz w:val="20"/>
          <w:szCs w:val="20"/>
        </w:rPr>
        <w:t xml:space="preserve">really similar to this study, but important </w:t>
      </w:r>
      <w:r>
        <w:rPr>
          <w:sz w:val="20"/>
          <w:szCs w:val="20"/>
        </w:rPr>
        <w:t xml:space="preserve">differences are the DNA methods we’re using – able to get a lot more taxonomic info at higher resolution. </w:t>
      </w:r>
      <w:proofErr w:type="gramStart"/>
      <w:r>
        <w:rPr>
          <w:sz w:val="20"/>
          <w:szCs w:val="20"/>
        </w:rPr>
        <w:t>Also</w:t>
      </w:r>
      <w:proofErr w:type="gramEnd"/>
      <w:r>
        <w:rPr>
          <w:sz w:val="20"/>
          <w:szCs w:val="20"/>
        </w:rPr>
        <w:t xml:space="preserve"> our boreholes are better sealed and were allowed to stabilize before attaching experiments. Our experiments included replicates and controls which theirs did not. Things they did better than us: break down cartridges in a glove bag, measure fluid chemistry flowing out of cartridge over time. They saw that after installation of their seal, the </w:t>
      </w:r>
      <w:proofErr w:type="spellStart"/>
      <w:r w:rsidR="00AC6F33">
        <w:rPr>
          <w:sz w:val="20"/>
          <w:szCs w:val="20"/>
        </w:rPr>
        <w:t>geochem</w:t>
      </w:r>
      <w:proofErr w:type="spellEnd"/>
      <w:r w:rsidR="00AC6F33">
        <w:rPr>
          <w:sz w:val="20"/>
          <w:szCs w:val="20"/>
        </w:rPr>
        <w:t xml:space="preserve"> and </w:t>
      </w:r>
      <w:r>
        <w:rPr>
          <w:sz w:val="20"/>
          <w:szCs w:val="20"/>
        </w:rPr>
        <w:t>community (PFLA profiles) in the fluids changed and stabilized, similar to what we observed after packer installation.</w:t>
      </w:r>
    </w:p>
    <w:p w14:paraId="1F65B412" w14:textId="1BB9D389" w:rsidR="00CF12FF" w:rsidRDefault="00CF12FF">
      <w:pPr>
        <w:pStyle w:val="CommentText"/>
      </w:pPr>
    </w:p>
  </w:comment>
  <w:comment w:id="4" w:author="Caitlin Page Casar" w:date="2019-04-14T22:16:00Z" w:initials="CPC">
    <w:p w14:paraId="1FBFD816" w14:textId="130BDEE7" w:rsidR="00C64BED" w:rsidRDefault="00C64BED">
      <w:pPr>
        <w:pStyle w:val="CommentText"/>
      </w:pPr>
      <w:r>
        <w:rPr>
          <w:rStyle w:val="CommentReference"/>
        </w:rPr>
        <w:annotationRef/>
      </w:r>
      <w:r>
        <w:t xml:space="preserve">Percent mineral composition is available in </w:t>
      </w:r>
      <w:proofErr w:type="spellStart"/>
      <w:r>
        <w:t>Caddey</w:t>
      </w:r>
      <w:proofErr w:type="spellEnd"/>
      <w:r>
        <w:t xml:space="preserve"> 1991 for </w:t>
      </w:r>
      <w:proofErr w:type="spellStart"/>
      <w:r>
        <w:t>Poorman</w:t>
      </w:r>
      <w:proofErr w:type="spellEnd"/>
      <w:r>
        <w:t xml:space="preserve">, Ellison, </w:t>
      </w:r>
      <w:proofErr w:type="spellStart"/>
      <w:r>
        <w:t>Homestake</w:t>
      </w:r>
      <w:proofErr w:type="spellEnd"/>
      <w:r>
        <w:t xml:space="preserve"> formations, also have XRF data from </w:t>
      </w:r>
      <w:proofErr w:type="spellStart"/>
      <w:r>
        <w:t>DeMMO</w:t>
      </w:r>
      <w:proofErr w:type="spellEnd"/>
      <w:r>
        <w:t xml:space="preserve"> rock samples collected near DeMMO1, DeMMO2, DeMMO3, and Yates </w:t>
      </w:r>
    </w:p>
  </w:comment>
  <w:comment w:id="5" w:author="Caitlin Page Casar" w:date="2019-04-14T16:10:00Z" w:initials="CPC">
    <w:p w14:paraId="3BE730DB" w14:textId="3556F162" w:rsidR="000447BB" w:rsidRDefault="000447BB" w:rsidP="000447BB">
      <w:pPr>
        <w:pStyle w:val="CommentText"/>
      </w:pPr>
      <w:r>
        <w:rPr>
          <w:rStyle w:val="CommentReference"/>
        </w:rPr>
        <w:annotationRef/>
      </w:r>
      <w:r>
        <w:t>Wanger 2006 estimated biofilm densities from SEM image, but they don’t detail how they came up with their estimate and I don’t know how reliable it is</w:t>
      </w:r>
      <w:r>
        <w:t xml:space="preserve">… 10^4 </w:t>
      </w:r>
      <w:r w:rsidR="00A537DC">
        <w:t xml:space="preserve">is 2 orders of mag lower than our estimates. </w:t>
      </w:r>
      <w:r w:rsidR="00A537DC">
        <w:t xml:space="preserve">Our estimates on par with Moser 2003 cartridge experiments </w:t>
      </w:r>
      <w:bookmarkStart w:id="6" w:name="_GoBack"/>
      <w:bookmarkEnd w:id="6"/>
    </w:p>
    <w:p w14:paraId="34782607" w14:textId="00579B23" w:rsidR="000447BB" w:rsidRDefault="000447BB">
      <w:pPr>
        <w:pStyle w:val="CommentText"/>
      </w:pPr>
    </w:p>
  </w:comment>
  <w:comment w:id="7" w:author="Caitlin Page Casar" w:date="2019-04-10T14:32:00Z" w:initials="CPC">
    <w:p w14:paraId="6C93F75B" w14:textId="2D2198AF" w:rsidR="00F17BC6" w:rsidRDefault="00F17BC6">
      <w:pPr>
        <w:pStyle w:val="CommentText"/>
      </w:pPr>
      <w:r>
        <w:rPr>
          <w:rStyle w:val="CommentReference"/>
        </w:rPr>
        <w:annotationRef/>
      </w:r>
      <w:r>
        <w:t xml:space="preserve">Need to add reactions with CO </w:t>
      </w:r>
    </w:p>
  </w:comment>
  <w:comment w:id="8" w:author="Caitlin Page Casar" w:date="2019-04-14T21:48:00Z" w:initials="CPC">
    <w:p w14:paraId="5236E575" w14:textId="739E52FD" w:rsidR="00711809" w:rsidRDefault="00711809">
      <w:pPr>
        <w:pStyle w:val="CommentText"/>
      </w:pPr>
      <w:r>
        <w:rPr>
          <w:rStyle w:val="CommentReference"/>
        </w:rPr>
        <w:annotationRef/>
      </w:r>
      <w:r>
        <w:t xml:space="preserve">Analyses do not include experiments with native rock. We have this data. I have DNA extracted from DeMMO1 and DeMMO3 (as well as </w:t>
      </w:r>
      <w:proofErr w:type="spellStart"/>
      <w:r>
        <w:t>Dusel</w:t>
      </w:r>
      <w:proofErr w:type="spellEnd"/>
      <w:r>
        <w:t xml:space="preserve"> D) using a variety of rock types sampled from </w:t>
      </w:r>
      <w:proofErr w:type="spellStart"/>
      <w:r>
        <w:t>DeMMO</w:t>
      </w:r>
      <w:proofErr w:type="spellEnd"/>
      <w:r>
        <w:t xml:space="preserve">  </w:t>
      </w:r>
    </w:p>
  </w:comment>
  <w:comment w:id="9" w:author="Caitlin Page Casar" w:date="2019-04-14T21:56:00Z" w:initials="CPC">
    <w:p w14:paraId="41F757CE" w14:textId="2E4A0972" w:rsidR="00E93613" w:rsidRDefault="00E93613">
      <w:pPr>
        <w:pStyle w:val="CommentText"/>
      </w:pPr>
      <w:r>
        <w:rPr>
          <w:rStyle w:val="CommentReference"/>
        </w:rPr>
        <w:annotationRef/>
      </w:r>
      <w:r>
        <w:t>I have SEM images of native rock used in DeMMO1 and 3 experiments, can’t use for cell density estimates. Could take more images of these if we wanted to attempt estimates on these</w:t>
      </w:r>
    </w:p>
  </w:comment>
  <w:comment w:id="10" w:author="Caitlin Page Casar" w:date="2019-04-14T19:43:00Z" w:initials="CPC">
    <w:p w14:paraId="00132344" w14:textId="22512576" w:rsidR="00571EA2" w:rsidRDefault="00571EA2">
      <w:pPr>
        <w:pStyle w:val="CommentText"/>
      </w:pPr>
      <w:r>
        <w:rPr>
          <w:rStyle w:val="CommentReference"/>
        </w:rPr>
        <w:annotationRef/>
      </w:r>
      <w:r>
        <w:t>Different results when I use aqueous vs. gaseous phase for CH4 and H2 – in aqueous phase with H2, reactions become endergonic (except for when coupled to pyrolusite). Also decreases energy density of H2 and CH4 a few orders of magnitude when I use aqueous phase. Should I be using aqueous phase to be consistent with Osburn2014?</w:t>
      </w:r>
    </w:p>
  </w:comment>
  <w:comment w:id="11" w:author="Caitlin Page Casar" w:date="2019-04-14T18:54:00Z" w:initials="CPC">
    <w:p w14:paraId="413C5676" w14:textId="5724FA76" w:rsidR="00BC311F" w:rsidRDefault="00BC311F">
      <w:pPr>
        <w:pStyle w:val="CommentText"/>
      </w:pPr>
      <w:r>
        <w:rPr>
          <w:rStyle w:val="CommentReference"/>
        </w:rPr>
        <w:annotationRef/>
      </w:r>
      <w:r>
        <w:t xml:space="preserve">Original analyses done at depth 3,994 to include as many samples as possible, but curves are closer to plateau at depth of 10k reads. Figures from analyses at both depths are shown below </w:t>
      </w:r>
    </w:p>
  </w:comment>
  <w:comment w:id="12" w:author="Caitlin Page Casar" w:date="2019-04-14T19:43:00Z" w:initials="CPC">
    <w:p w14:paraId="4706FCAE" w14:textId="5451B7F0" w:rsidR="00571EA2" w:rsidRPr="00571EA2" w:rsidRDefault="00571EA2" w:rsidP="00571EA2">
      <w:pPr>
        <w:spacing w:before="120" w:line="276" w:lineRule="auto"/>
        <w:jc w:val="both"/>
        <w:rPr>
          <w:rFonts w:ascii="TimesNewRomanPSMT" w:hAnsi="TimesNewRomanPSMT"/>
          <w:color w:val="7F7F7F" w:themeColor="text1" w:themeTint="80"/>
          <w:sz w:val="18"/>
          <w:szCs w:val="18"/>
        </w:rPr>
      </w:pPr>
      <w:r>
        <w:rPr>
          <w:rStyle w:val="CommentReference"/>
        </w:rPr>
        <w:annotationRef/>
      </w:r>
      <w:r>
        <w:rPr>
          <w:rFonts w:ascii="TimesNewRomanPSMT" w:hAnsi="TimesNewRomanPSMT"/>
          <w:color w:val="7F7F7F" w:themeColor="text1" w:themeTint="80"/>
          <w:sz w:val="18"/>
          <w:szCs w:val="18"/>
        </w:rPr>
        <w:t xml:space="preserve">Much smaller range observed for D1 fluids after 10k </w:t>
      </w:r>
      <w:proofErr w:type="gramStart"/>
      <w:r>
        <w:rPr>
          <w:rFonts w:ascii="TimesNewRomanPSMT" w:hAnsi="TimesNewRomanPSMT"/>
          <w:color w:val="7F7F7F" w:themeColor="text1" w:themeTint="80"/>
          <w:sz w:val="18"/>
          <w:szCs w:val="18"/>
        </w:rPr>
        <w:t>rarefaction.</w:t>
      </w:r>
      <w:r>
        <w:rPr>
          <w:rFonts w:ascii="TimesNewRomanPSMT" w:hAnsi="TimesNewRomanPSMT"/>
          <w:color w:val="7F7F7F" w:themeColor="text1" w:themeTint="80"/>
          <w:sz w:val="18"/>
          <w:szCs w:val="18"/>
        </w:rPr>
        <w:softHyphen/>
      </w:r>
      <w:proofErr w:type="gramEnd"/>
    </w:p>
  </w:comment>
  <w:comment w:id="13" w:author="Caitlin Page Casar" w:date="2019-04-15T11:41:00Z" w:initials="CPC">
    <w:p w14:paraId="2663D9BC" w14:textId="7450433D" w:rsidR="00F025D6" w:rsidRDefault="00F025D6">
      <w:pPr>
        <w:pStyle w:val="CommentText"/>
      </w:pPr>
      <w:r>
        <w:rPr>
          <w:rStyle w:val="CommentReference"/>
        </w:rPr>
        <w:annotationRef/>
      </w:r>
      <w:r>
        <w:t xml:space="preserve">Taken from fig showing only min </w:t>
      </w:r>
      <w:proofErr w:type="spellStart"/>
      <w:r>
        <w:t>pval</w:t>
      </w:r>
      <w:proofErr w:type="spellEnd"/>
      <w:r>
        <w:t xml:space="preserve"> vectors, does not include all significant vectors with </w:t>
      </w:r>
      <w:proofErr w:type="spellStart"/>
      <w:r>
        <w:t>pval</w:t>
      </w:r>
      <w:proofErr w:type="spellEnd"/>
      <w:r>
        <w:t xml:space="preserve"> &lt; 0.05</w:t>
      </w:r>
    </w:p>
  </w:comment>
  <w:comment w:id="14" w:author="Caitlin Page Casar" w:date="2019-04-15T11:21:00Z" w:initials="CPC">
    <w:p w14:paraId="4D48D451" w14:textId="460CAF27" w:rsidR="00F025D6" w:rsidRDefault="00F025D6">
      <w:pPr>
        <w:pStyle w:val="CommentText"/>
      </w:pPr>
      <w:r>
        <w:rPr>
          <w:rStyle w:val="CommentReference"/>
        </w:rPr>
        <w:annotationRef/>
      </w:r>
      <w:r>
        <w:t>Could add numbers on top of ‘low abundance taxa’ bins to indicate the number of families represented by that bin in each community, this way we don’t misrepresent diversity with this fig</w:t>
      </w:r>
    </w:p>
  </w:comment>
  <w:comment w:id="15" w:author="Caitlin Page Casar" w:date="2019-04-14T22:28:00Z" w:initials="CPC">
    <w:p w14:paraId="62460987" w14:textId="34FE4C10" w:rsidR="00E61ACD" w:rsidRDefault="00E61ACD">
      <w:pPr>
        <w:pStyle w:val="CommentText"/>
      </w:pPr>
      <w:r>
        <w:rPr>
          <w:rStyle w:val="CommentReference"/>
        </w:rPr>
        <w:annotationRef/>
      </w:r>
      <w:r>
        <w:t xml:space="preserve">Could attempt to quantify morphologies from SEM images </w:t>
      </w:r>
    </w:p>
  </w:comment>
  <w:comment w:id="16" w:author="Caitlin Page Casar" w:date="2019-04-15T13:42:00Z" w:initials="CPC">
    <w:p w14:paraId="36EA1EA7" w14:textId="7995B254" w:rsidR="003E4C54" w:rsidRDefault="003E4C54">
      <w:pPr>
        <w:pStyle w:val="CommentText"/>
      </w:pPr>
      <w:r>
        <w:rPr>
          <w:rStyle w:val="CommentReference"/>
        </w:rPr>
        <w:annotationRef/>
      </w:r>
      <w:r>
        <w:t>H2 not good e- donor when modelled using aqueous gas phases</w:t>
      </w:r>
    </w:p>
  </w:comment>
  <w:comment w:id="17" w:author="Caitlin Page Casar" w:date="2019-04-10T14:41:00Z" w:initials="CPC">
    <w:p w14:paraId="2E8C8654" w14:textId="5A6FA1DD" w:rsidR="00F17BC6" w:rsidRDefault="00F17BC6">
      <w:pPr>
        <w:pStyle w:val="CommentText"/>
      </w:pPr>
      <w:r>
        <w:rPr>
          <w:rStyle w:val="CommentReference"/>
        </w:rPr>
        <w:annotationRef/>
      </w:r>
      <w:r>
        <w:t xml:space="preserve">A better sampling depth would be closer to 10k based on rarefaction curves to better capture DeMMO1 fluid community diversity – this would exclude 15 samples from the dataset, mostly including DeMMO1 fluids from all 2016 sampling trips and parallel controls on </w:t>
      </w:r>
      <w:proofErr w:type="spellStart"/>
      <w:r>
        <w:t>pyrex</w:t>
      </w:r>
      <w:proofErr w:type="spellEnd"/>
      <w:r>
        <w:t xml:space="preserve"> beads from Sep 2016. </w:t>
      </w:r>
      <w:r w:rsidR="00571EA2">
        <w:t xml:space="preserve">I re-ran </w:t>
      </w:r>
      <w:r>
        <w:t>all the data at a higher sequencing depth</w:t>
      </w:r>
      <w:r w:rsidR="00571EA2">
        <w:t xml:space="preserve"> and got similar output,</w:t>
      </w:r>
      <w:r>
        <w:t xml:space="preserve"> will likely run into less of an issue with reviewers </w:t>
      </w:r>
      <w:r w:rsidR="00571EA2">
        <w:t>this way</w:t>
      </w:r>
    </w:p>
  </w:comment>
  <w:comment w:id="18" w:author="Caitlin Page Casar" w:date="2019-04-15T11:15:00Z" w:initials="CPC">
    <w:p w14:paraId="3C8DD776" w14:textId="507BE280" w:rsidR="00F03C69" w:rsidRDefault="00F03C69">
      <w:pPr>
        <w:pStyle w:val="CommentText"/>
      </w:pPr>
      <w:r>
        <w:rPr>
          <w:rStyle w:val="CommentReference"/>
        </w:rPr>
        <w:annotationRef/>
      </w:r>
      <w:r>
        <w:t>What grant number to list here? NASA guidelines for the NESSF say to specify the grand 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97ACC2" w15:done="0"/>
  <w15:commentEx w15:paraId="64AAB7BC" w15:done="0"/>
  <w15:commentEx w15:paraId="477B6BB7" w15:done="0"/>
  <w15:commentEx w15:paraId="1F65B412" w15:done="0"/>
  <w15:commentEx w15:paraId="1FBFD816" w15:done="0"/>
  <w15:commentEx w15:paraId="34782607" w15:done="0"/>
  <w15:commentEx w15:paraId="6C93F75B" w15:done="0"/>
  <w15:commentEx w15:paraId="5236E575" w15:done="0"/>
  <w15:commentEx w15:paraId="41F757CE" w15:done="0"/>
  <w15:commentEx w15:paraId="00132344" w15:done="0"/>
  <w15:commentEx w15:paraId="413C5676" w15:done="0"/>
  <w15:commentEx w15:paraId="4706FCAE" w15:done="0"/>
  <w15:commentEx w15:paraId="2663D9BC" w15:done="0"/>
  <w15:commentEx w15:paraId="4D48D451" w15:done="0"/>
  <w15:commentEx w15:paraId="62460987" w15:done="0"/>
  <w15:commentEx w15:paraId="36EA1EA7" w15:done="0"/>
  <w15:commentEx w15:paraId="2E8C8654" w15:done="0"/>
  <w15:commentEx w15:paraId="3C8DD7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97ACC2" w16cid:durableId="205DF200"/>
  <w16cid:commentId w16cid:paraId="64AAB7BC" w16cid:durableId="205DD3DF"/>
  <w16cid:commentId w16cid:paraId="477B6BB7" w16cid:durableId="205DD3FF"/>
  <w16cid:commentId w16cid:paraId="1F65B412" w16cid:durableId="205DD47D"/>
  <w16cid:commentId w16cid:paraId="1FBFD816" w16cid:durableId="205E2FCD"/>
  <w16cid:commentId w16cid:paraId="34782607" w16cid:durableId="205DDA0C"/>
  <w16cid:commentId w16cid:paraId="6C93F75B" w16cid:durableId="20587D14"/>
  <w16cid:commentId w16cid:paraId="5236E575" w16cid:durableId="205E2916"/>
  <w16cid:commentId w16cid:paraId="41F757CE" w16cid:durableId="205E2B0C"/>
  <w16cid:commentId w16cid:paraId="00132344" w16cid:durableId="205E0BCA"/>
  <w16cid:commentId w16cid:paraId="413C5676" w16cid:durableId="205E0050"/>
  <w16cid:commentId w16cid:paraId="4706FCAE" w16cid:durableId="205E0BF2"/>
  <w16cid:commentId w16cid:paraId="2663D9BC" w16cid:durableId="205EEC75"/>
  <w16cid:commentId w16cid:paraId="4D48D451" w16cid:durableId="205EE7B8"/>
  <w16cid:commentId w16cid:paraId="62460987" w16cid:durableId="205E3271"/>
  <w16cid:commentId w16cid:paraId="36EA1EA7" w16cid:durableId="205F08BA"/>
  <w16cid:commentId w16cid:paraId="2E8C8654" w16cid:durableId="20587F16"/>
  <w16cid:commentId w16cid:paraId="3C8DD776" w16cid:durableId="205EE6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92DD9"/>
    <w:multiLevelType w:val="hybridMultilevel"/>
    <w:tmpl w:val="4628DD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1112D0"/>
    <w:multiLevelType w:val="hybridMultilevel"/>
    <w:tmpl w:val="8C5404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71634A"/>
    <w:multiLevelType w:val="hybridMultilevel"/>
    <w:tmpl w:val="AF8C0C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8D56F2"/>
    <w:multiLevelType w:val="hybridMultilevel"/>
    <w:tmpl w:val="92D8F1C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807953"/>
    <w:multiLevelType w:val="hybridMultilevel"/>
    <w:tmpl w:val="6714D8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A65576"/>
    <w:multiLevelType w:val="hybridMultilevel"/>
    <w:tmpl w:val="A99EB2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136F0"/>
    <w:multiLevelType w:val="hybridMultilevel"/>
    <w:tmpl w:val="FF3C6B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A6F15CF"/>
    <w:multiLevelType w:val="hybridMultilevel"/>
    <w:tmpl w:val="BCF6E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EE67C1"/>
    <w:multiLevelType w:val="hybridMultilevel"/>
    <w:tmpl w:val="9C9822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04090003">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9" w15:restartNumberingAfterBreak="0">
    <w:nsid w:val="6DEF4646"/>
    <w:multiLevelType w:val="hybridMultilevel"/>
    <w:tmpl w:val="4C501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EA6A14"/>
    <w:multiLevelType w:val="hybridMultilevel"/>
    <w:tmpl w:val="80444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2"/>
  </w:num>
  <w:num w:numId="4">
    <w:abstractNumId w:val="3"/>
  </w:num>
  <w:num w:numId="5">
    <w:abstractNumId w:val="8"/>
  </w:num>
  <w:num w:numId="6">
    <w:abstractNumId w:val="6"/>
  </w:num>
  <w:num w:numId="7">
    <w:abstractNumId w:val="4"/>
  </w:num>
  <w:num w:numId="8">
    <w:abstractNumId w:val="0"/>
  </w:num>
  <w:num w:numId="9">
    <w:abstractNumId w:val="10"/>
  </w:num>
  <w:num w:numId="10">
    <w:abstractNumId w:val="7"/>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itlin Page Casar">
    <w15:presenceInfo w15:providerId="AD" w15:userId="S::cpc7770@ads.northwestern.edu::b47dbd35-235d-4ad6-8a82-6c23260576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FD0"/>
    <w:rsid w:val="00011FD0"/>
    <w:rsid w:val="00027F1E"/>
    <w:rsid w:val="000401DD"/>
    <w:rsid w:val="00043DA9"/>
    <w:rsid w:val="000447BB"/>
    <w:rsid w:val="000504BD"/>
    <w:rsid w:val="000539CA"/>
    <w:rsid w:val="00062802"/>
    <w:rsid w:val="00074538"/>
    <w:rsid w:val="00133ED4"/>
    <w:rsid w:val="00137EB0"/>
    <w:rsid w:val="001A1EC8"/>
    <w:rsid w:val="001A3114"/>
    <w:rsid w:val="001B4908"/>
    <w:rsid w:val="002372DE"/>
    <w:rsid w:val="0026270C"/>
    <w:rsid w:val="002D6EC3"/>
    <w:rsid w:val="002E6F35"/>
    <w:rsid w:val="0030190C"/>
    <w:rsid w:val="00301E0A"/>
    <w:rsid w:val="003035A9"/>
    <w:rsid w:val="00312BDD"/>
    <w:rsid w:val="00374534"/>
    <w:rsid w:val="003B0322"/>
    <w:rsid w:val="003E4C54"/>
    <w:rsid w:val="004019C2"/>
    <w:rsid w:val="004232B9"/>
    <w:rsid w:val="0043402E"/>
    <w:rsid w:val="0044211A"/>
    <w:rsid w:val="004618FA"/>
    <w:rsid w:val="004D0848"/>
    <w:rsid w:val="004D0DB7"/>
    <w:rsid w:val="004E76A5"/>
    <w:rsid w:val="00513D60"/>
    <w:rsid w:val="0053228E"/>
    <w:rsid w:val="00536517"/>
    <w:rsid w:val="00551FA5"/>
    <w:rsid w:val="005654B9"/>
    <w:rsid w:val="00571EA2"/>
    <w:rsid w:val="005A06A2"/>
    <w:rsid w:val="00636C3E"/>
    <w:rsid w:val="006559D9"/>
    <w:rsid w:val="00693745"/>
    <w:rsid w:val="006C1C3A"/>
    <w:rsid w:val="007026E7"/>
    <w:rsid w:val="00711809"/>
    <w:rsid w:val="00724C13"/>
    <w:rsid w:val="00754737"/>
    <w:rsid w:val="007C4632"/>
    <w:rsid w:val="008D0B1B"/>
    <w:rsid w:val="009222EC"/>
    <w:rsid w:val="0097642D"/>
    <w:rsid w:val="00992859"/>
    <w:rsid w:val="009C7954"/>
    <w:rsid w:val="009D4FB9"/>
    <w:rsid w:val="00A537DC"/>
    <w:rsid w:val="00A84178"/>
    <w:rsid w:val="00AB6B5C"/>
    <w:rsid w:val="00AC6F33"/>
    <w:rsid w:val="00B376A9"/>
    <w:rsid w:val="00B90647"/>
    <w:rsid w:val="00BC311F"/>
    <w:rsid w:val="00BC3549"/>
    <w:rsid w:val="00BD259C"/>
    <w:rsid w:val="00C460D9"/>
    <w:rsid w:val="00C5533C"/>
    <w:rsid w:val="00C6233A"/>
    <w:rsid w:val="00C64BED"/>
    <w:rsid w:val="00C84673"/>
    <w:rsid w:val="00CA021D"/>
    <w:rsid w:val="00CC2879"/>
    <w:rsid w:val="00CF12FF"/>
    <w:rsid w:val="00CF3859"/>
    <w:rsid w:val="00D01AB2"/>
    <w:rsid w:val="00D6755D"/>
    <w:rsid w:val="00D722E3"/>
    <w:rsid w:val="00D94AA3"/>
    <w:rsid w:val="00D963BB"/>
    <w:rsid w:val="00DF60B2"/>
    <w:rsid w:val="00E15E35"/>
    <w:rsid w:val="00E17097"/>
    <w:rsid w:val="00E20251"/>
    <w:rsid w:val="00E451E7"/>
    <w:rsid w:val="00E506C0"/>
    <w:rsid w:val="00E61ACD"/>
    <w:rsid w:val="00E91E6A"/>
    <w:rsid w:val="00E93613"/>
    <w:rsid w:val="00EC5CC3"/>
    <w:rsid w:val="00EE79B7"/>
    <w:rsid w:val="00F025D6"/>
    <w:rsid w:val="00F03C69"/>
    <w:rsid w:val="00F11E9E"/>
    <w:rsid w:val="00F14C8C"/>
    <w:rsid w:val="00F17BC6"/>
    <w:rsid w:val="00F26895"/>
    <w:rsid w:val="00F45404"/>
    <w:rsid w:val="00FC023F"/>
    <w:rsid w:val="00FC7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36A0B3"/>
  <w14:defaultImageDpi w14:val="32767"/>
  <w15:chartTrackingRefBased/>
  <w15:docId w15:val="{2810DEA8-3ACB-3040-BC13-ED1DD32E1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22E3"/>
    <w:rPr>
      <w:rFonts w:ascii="Times New Roman" w:eastAsia="Times New Roman" w:hAnsi="Times New Roman" w:cs="Times New Roman"/>
    </w:rPr>
  </w:style>
  <w:style w:type="paragraph" w:styleId="Heading1">
    <w:name w:val="heading 1"/>
    <w:basedOn w:val="Normal"/>
    <w:link w:val="Heading1Char"/>
    <w:uiPriority w:val="9"/>
    <w:qFormat/>
    <w:rsid w:val="00551FA5"/>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722E3"/>
    <w:rPr>
      <w:sz w:val="20"/>
      <w:szCs w:val="20"/>
    </w:rPr>
  </w:style>
  <w:style w:type="character" w:customStyle="1" w:styleId="CommentTextChar">
    <w:name w:val="Comment Text Char"/>
    <w:basedOn w:val="DefaultParagraphFont"/>
    <w:link w:val="CommentText"/>
    <w:uiPriority w:val="99"/>
    <w:rsid w:val="00D722E3"/>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551FA5"/>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4618FA"/>
    <w:rPr>
      <w:sz w:val="16"/>
      <w:szCs w:val="16"/>
    </w:rPr>
  </w:style>
  <w:style w:type="paragraph" w:styleId="CommentSubject">
    <w:name w:val="annotation subject"/>
    <w:basedOn w:val="CommentText"/>
    <w:next w:val="CommentText"/>
    <w:link w:val="CommentSubjectChar"/>
    <w:uiPriority w:val="99"/>
    <w:semiHidden/>
    <w:unhideWhenUsed/>
    <w:rsid w:val="004618FA"/>
    <w:rPr>
      <w:b/>
      <w:bCs/>
    </w:rPr>
  </w:style>
  <w:style w:type="character" w:customStyle="1" w:styleId="CommentSubjectChar">
    <w:name w:val="Comment Subject Char"/>
    <w:basedOn w:val="CommentTextChar"/>
    <w:link w:val="CommentSubject"/>
    <w:uiPriority w:val="99"/>
    <w:semiHidden/>
    <w:rsid w:val="004618F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618FA"/>
    <w:rPr>
      <w:sz w:val="18"/>
      <w:szCs w:val="18"/>
    </w:rPr>
  </w:style>
  <w:style w:type="character" w:customStyle="1" w:styleId="BalloonTextChar">
    <w:name w:val="Balloon Text Char"/>
    <w:basedOn w:val="DefaultParagraphFont"/>
    <w:link w:val="BalloonText"/>
    <w:uiPriority w:val="99"/>
    <w:semiHidden/>
    <w:rsid w:val="004618FA"/>
    <w:rPr>
      <w:rFonts w:ascii="Times New Roman" w:eastAsia="Times New Roman" w:hAnsi="Times New Roman" w:cs="Times New Roman"/>
      <w:sz w:val="18"/>
      <w:szCs w:val="18"/>
    </w:rPr>
  </w:style>
  <w:style w:type="paragraph" w:styleId="ListParagraph">
    <w:name w:val="List Paragraph"/>
    <w:basedOn w:val="Normal"/>
    <w:uiPriority w:val="34"/>
    <w:qFormat/>
    <w:rsid w:val="004618FA"/>
    <w:pPr>
      <w:ind w:left="720"/>
      <w:contextualSpacing/>
    </w:pPr>
  </w:style>
  <w:style w:type="paragraph" w:styleId="NormalWeb">
    <w:name w:val="Normal (Web)"/>
    <w:basedOn w:val="Normal"/>
    <w:uiPriority w:val="99"/>
    <w:unhideWhenUsed/>
    <w:rsid w:val="006C1C3A"/>
    <w:pPr>
      <w:spacing w:before="100" w:beforeAutospacing="1" w:after="100" w:afterAutospacing="1"/>
    </w:pPr>
  </w:style>
  <w:style w:type="character" w:styleId="Emphasis">
    <w:name w:val="Emphasis"/>
    <w:basedOn w:val="DefaultParagraphFont"/>
    <w:uiPriority w:val="20"/>
    <w:qFormat/>
    <w:rsid w:val="00F03C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56834">
      <w:bodyDiv w:val="1"/>
      <w:marLeft w:val="0"/>
      <w:marRight w:val="0"/>
      <w:marTop w:val="0"/>
      <w:marBottom w:val="0"/>
      <w:divBdr>
        <w:top w:val="none" w:sz="0" w:space="0" w:color="auto"/>
        <w:left w:val="none" w:sz="0" w:space="0" w:color="auto"/>
        <w:bottom w:val="none" w:sz="0" w:space="0" w:color="auto"/>
        <w:right w:val="none" w:sz="0" w:space="0" w:color="auto"/>
      </w:divBdr>
    </w:div>
    <w:div w:id="331684719">
      <w:bodyDiv w:val="1"/>
      <w:marLeft w:val="0"/>
      <w:marRight w:val="0"/>
      <w:marTop w:val="0"/>
      <w:marBottom w:val="0"/>
      <w:divBdr>
        <w:top w:val="none" w:sz="0" w:space="0" w:color="auto"/>
        <w:left w:val="none" w:sz="0" w:space="0" w:color="auto"/>
        <w:bottom w:val="none" w:sz="0" w:space="0" w:color="auto"/>
        <w:right w:val="none" w:sz="0" w:space="0" w:color="auto"/>
      </w:divBdr>
      <w:divsChild>
        <w:div w:id="1833137097">
          <w:marLeft w:val="0"/>
          <w:marRight w:val="0"/>
          <w:marTop w:val="0"/>
          <w:marBottom w:val="0"/>
          <w:divBdr>
            <w:top w:val="none" w:sz="0" w:space="0" w:color="auto"/>
            <w:left w:val="none" w:sz="0" w:space="0" w:color="auto"/>
            <w:bottom w:val="none" w:sz="0" w:space="0" w:color="auto"/>
            <w:right w:val="none" w:sz="0" w:space="0" w:color="auto"/>
          </w:divBdr>
          <w:divsChild>
            <w:div w:id="86584312">
              <w:marLeft w:val="0"/>
              <w:marRight w:val="0"/>
              <w:marTop w:val="0"/>
              <w:marBottom w:val="0"/>
              <w:divBdr>
                <w:top w:val="none" w:sz="0" w:space="0" w:color="auto"/>
                <w:left w:val="none" w:sz="0" w:space="0" w:color="auto"/>
                <w:bottom w:val="none" w:sz="0" w:space="0" w:color="auto"/>
                <w:right w:val="none" w:sz="0" w:space="0" w:color="auto"/>
              </w:divBdr>
              <w:divsChild>
                <w:div w:id="9421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37773">
      <w:bodyDiv w:val="1"/>
      <w:marLeft w:val="0"/>
      <w:marRight w:val="0"/>
      <w:marTop w:val="0"/>
      <w:marBottom w:val="0"/>
      <w:divBdr>
        <w:top w:val="none" w:sz="0" w:space="0" w:color="auto"/>
        <w:left w:val="none" w:sz="0" w:space="0" w:color="auto"/>
        <w:bottom w:val="none" w:sz="0" w:space="0" w:color="auto"/>
        <w:right w:val="none" w:sz="0" w:space="0" w:color="auto"/>
      </w:divBdr>
      <w:divsChild>
        <w:div w:id="790586065">
          <w:marLeft w:val="0"/>
          <w:marRight w:val="0"/>
          <w:marTop w:val="0"/>
          <w:marBottom w:val="0"/>
          <w:divBdr>
            <w:top w:val="none" w:sz="0" w:space="0" w:color="auto"/>
            <w:left w:val="none" w:sz="0" w:space="0" w:color="auto"/>
            <w:bottom w:val="none" w:sz="0" w:space="0" w:color="auto"/>
            <w:right w:val="none" w:sz="0" w:space="0" w:color="auto"/>
          </w:divBdr>
          <w:divsChild>
            <w:div w:id="367878656">
              <w:marLeft w:val="0"/>
              <w:marRight w:val="0"/>
              <w:marTop w:val="0"/>
              <w:marBottom w:val="0"/>
              <w:divBdr>
                <w:top w:val="none" w:sz="0" w:space="0" w:color="auto"/>
                <w:left w:val="none" w:sz="0" w:space="0" w:color="auto"/>
                <w:bottom w:val="none" w:sz="0" w:space="0" w:color="auto"/>
                <w:right w:val="none" w:sz="0" w:space="0" w:color="auto"/>
              </w:divBdr>
              <w:divsChild>
                <w:div w:id="524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0745">
      <w:bodyDiv w:val="1"/>
      <w:marLeft w:val="0"/>
      <w:marRight w:val="0"/>
      <w:marTop w:val="0"/>
      <w:marBottom w:val="0"/>
      <w:divBdr>
        <w:top w:val="none" w:sz="0" w:space="0" w:color="auto"/>
        <w:left w:val="none" w:sz="0" w:space="0" w:color="auto"/>
        <w:bottom w:val="none" w:sz="0" w:space="0" w:color="auto"/>
        <w:right w:val="none" w:sz="0" w:space="0" w:color="auto"/>
      </w:divBdr>
      <w:divsChild>
        <w:div w:id="940333093">
          <w:marLeft w:val="0"/>
          <w:marRight w:val="0"/>
          <w:marTop w:val="0"/>
          <w:marBottom w:val="0"/>
          <w:divBdr>
            <w:top w:val="none" w:sz="0" w:space="0" w:color="auto"/>
            <w:left w:val="none" w:sz="0" w:space="0" w:color="auto"/>
            <w:bottom w:val="none" w:sz="0" w:space="0" w:color="auto"/>
            <w:right w:val="none" w:sz="0" w:space="0" w:color="auto"/>
          </w:divBdr>
          <w:divsChild>
            <w:div w:id="472911397">
              <w:marLeft w:val="0"/>
              <w:marRight w:val="0"/>
              <w:marTop w:val="0"/>
              <w:marBottom w:val="0"/>
              <w:divBdr>
                <w:top w:val="none" w:sz="0" w:space="0" w:color="auto"/>
                <w:left w:val="none" w:sz="0" w:space="0" w:color="auto"/>
                <w:bottom w:val="none" w:sz="0" w:space="0" w:color="auto"/>
                <w:right w:val="none" w:sz="0" w:space="0" w:color="auto"/>
              </w:divBdr>
              <w:divsChild>
                <w:div w:id="3299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55493">
      <w:bodyDiv w:val="1"/>
      <w:marLeft w:val="0"/>
      <w:marRight w:val="0"/>
      <w:marTop w:val="0"/>
      <w:marBottom w:val="0"/>
      <w:divBdr>
        <w:top w:val="none" w:sz="0" w:space="0" w:color="auto"/>
        <w:left w:val="none" w:sz="0" w:space="0" w:color="auto"/>
        <w:bottom w:val="none" w:sz="0" w:space="0" w:color="auto"/>
        <w:right w:val="none" w:sz="0" w:space="0" w:color="auto"/>
      </w:divBdr>
    </w:div>
    <w:div w:id="798229950">
      <w:bodyDiv w:val="1"/>
      <w:marLeft w:val="0"/>
      <w:marRight w:val="0"/>
      <w:marTop w:val="0"/>
      <w:marBottom w:val="0"/>
      <w:divBdr>
        <w:top w:val="none" w:sz="0" w:space="0" w:color="auto"/>
        <w:left w:val="none" w:sz="0" w:space="0" w:color="auto"/>
        <w:bottom w:val="none" w:sz="0" w:space="0" w:color="auto"/>
        <w:right w:val="none" w:sz="0" w:space="0" w:color="auto"/>
      </w:divBdr>
    </w:div>
    <w:div w:id="1077554006">
      <w:bodyDiv w:val="1"/>
      <w:marLeft w:val="0"/>
      <w:marRight w:val="0"/>
      <w:marTop w:val="0"/>
      <w:marBottom w:val="0"/>
      <w:divBdr>
        <w:top w:val="none" w:sz="0" w:space="0" w:color="auto"/>
        <w:left w:val="none" w:sz="0" w:space="0" w:color="auto"/>
        <w:bottom w:val="none" w:sz="0" w:space="0" w:color="auto"/>
        <w:right w:val="none" w:sz="0" w:space="0" w:color="auto"/>
      </w:divBdr>
    </w:div>
    <w:div w:id="1359234716">
      <w:bodyDiv w:val="1"/>
      <w:marLeft w:val="0"/>
      <w:marRight w:val="0"/>
      <w:marTop w:val="0"/>
      <w:marBottom w:val="0"/>
      <w:divBdr>
        <w:top w:val="none" w:sz="0" w:space="0" w:color="auto"/>
        <w:left w:val="none" w:sz="0" w:space="0" w:color="auto"/>
        <w:bottom w:val="none" w:sz="0" w:space="0" w:color="auto"/>
        <w:right w:val="none" w:sz="0" w:space="0" w:color="auto"/>
      </w:divBdr>
      <w:divsChild>
        <w:div w:id="504050854">
          <w:marLeft w:val="0"/>
          <w:marRight w:val="0"/>
          <w:marTop w:val="0"/>
          <w:marBottom w:val="0"/>
          <w:divBdr>
            <w:top w:val="none" w:sz="0" w:space="0" w:color="auto"/>
            <w:left w:val="none" w:sz="0" w:space="0" w:color="auto"/>
            <w:bottom w:val="none" w:sz="0" w:space="0" w:color="auto"/>
            <w:right w:val="none" w:sz="0" w:space="0" w:color="auto"/>
          </w:divBdr>
          <w:divsChild>
            <w:div w:id="1917010095">
              <w:marLeft w:val="0"/>
              <w:marRight w:val="0"/>
              <w:marTop w:val="0"/>
              <w:marBottom w:val="0"/>
              <w:divBdr>
                <w:top w:val="none" w:sz="0" w:space="0" w:color="auto"/>
                <w:left w:val="none" w:sz="0" w:space="0" w:color="auto"/>
                <w:bottom w:val="none" w:sz="0" w:space="0" w:color="auto"/>
                <w:right w:val="none" w:sz="0" w:space="0" w:color="auto"/>
              </w:divBdr>
              <w:divsChild>
                <w:div w:id="18707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68744">
      <w:bodyDiv w:val="1"/>
      <w:marLeft w:val="0"/>
      <w:marRight w:val="0"/>
      <w:marTop w:val="0"/>
      <w:marBottom w:val="0"/>
      <w:divBdr>
        <w:top w:val="none" w:sz="0" w:space="0" w:color="auto"/>
        <w:left w:val="none" w:sz="0" w:space="0" w:color="auto"/>
        <w:bottom w:val="none" w:sz="0" w:space="0" w:color="auto"/>
        <w:right w:val="none" w:sz="0" w:space="0" w:color="auto"/>
      </w:divBdr>
    </w:div>
    <w:div w:id="1827698492">
      <w:bodyDiv w:val="1"/>
      <w:marLeft w:val="0"/>
      <w:marRight w:val="0"/>
      <w:marTop w:val="0"/>
      <w:marBottom w:val="0"/>
      <w:divBdr>
        <w:top w:val="none" w:sz="0" w:space="0" w:color="auto"/>
        <w:left w:val="none" w:sz="0" w:space="0" w:color="auto"/>
        <w:bottom w:val="none" w:sz="0" w:space="0" w:color="auto"/>
        <w:right w:val="none" w:sz="0" w:space="0" w:color="auto"/>
      </w:divBdr>
    </w:div>
    <w:div w:id="184716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emf"/><Relationship Id="rId7" Type="http://schemas.microsoft.com/office/2016/09/relationships/commentsIds" Target="commentsId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emf"/><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12</Pages>
  <Words>5257</Words>
  <Characters>29967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Page Casar</dc:creator>
  <cp:keywords/>
  <dc:description/>
  <cp:lastModifiedBy>Caitlin Page Casar</cp:lastModifiedBy>
  <cp:revision>56</cp:revision>
  <dcterms:created xsi:type="dcterms:W3CDTF">2019-04-08T18:54:00Z</dcterms:created>
  <dcterms:modified xsi:type="dcterms:W3CDTF">2019-04-16T17:45:00Z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id="cli8BHnb"/&gt;&lt;style id="http://www.zotero.org/styles/geobiology" hasBibliography="1" bibliographyStyleHasBeenSet="0"/&gt;&lt;prefs&gt;&lt;pref name="fieldType" value="Field"/&gt;&lt;/prefs&gt;&lt;/data&gt;</vt:lpwstr>
  </property>
</Properties>
</file>