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GHz,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gigahertz,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link,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downlink,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uplink,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line of sight,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live ingest protocol,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mavlink protocol,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encrypted mavlink protocol,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channels,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communicate,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communication,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communicational,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connexion,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connectedness,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abstraction,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abstract 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