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absorber,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absorbers,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brush motor,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brushless motor,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KV output,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thrust computer,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cable,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clamp,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component,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components,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chassi,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chassis,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gimbal,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pads,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platform,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propell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baseline"/>
          <w:rtl w:val="0"/>
        </w:rPr>
        <w:t xml:space="preserve">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propell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baseline"/>
          <w:rtl w:val="0"/>
        </w:rPr>
        <w:t xml:space="preserve">rs,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engine,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engines,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motor,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motors,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servos,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power,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powers,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powered,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gas,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gasoline,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petrol,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petrol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baseline"/>
          <w:rtl w:val="0"/>
        </w:rPr>
        <w:t xml:space="preserve">um,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fuel,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fueled,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battery,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batteries,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fuel cell,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fuel cells,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solar,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airframe,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airframes,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quadcopter,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tri,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tricopter,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quad,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octo,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octocopter,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glider,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fixed wing,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fixedwing,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helicopter,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wing,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wings,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control,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controller,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receiver,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transmitter,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remote,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micro-SD,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micro-usb,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micro,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micro-,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landing,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wrench,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video,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FPV,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person video,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navigation,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