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parrot,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3DR,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GoPro,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multicopter warehouse,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precisionhawk,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 hobby,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UAV solutions,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PIX4D,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dronedeploy,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3DR,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hobbico,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japan drone,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dronestock,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dronecode,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dronesPlus,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micropilot,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GoFly,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xcraft,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flystro,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skyworks,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 rotor forums,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rotor drone,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skyward,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smartchutes,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actiondrone,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polar pro,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fatshark,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YUNEEC,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nanuk,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fuertecases,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goengineer,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botlink,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lowepro,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stampede,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thunder power,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fathoiv,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AUVSI,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altitude angel,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dedrone,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consumer priority service,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amimon,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emax,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inforce computing,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avalon risk management,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AEgis,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RPAS Logger Enterprise,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Alta devices,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avsion,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 chip,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epson,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intercontinentalIP,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 francisco circuits,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purple platypus,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samy’s camera,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multiGP,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HUINS,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AkinGump,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nextVision,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tetracams,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gowdy brothers aerospace,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cisco,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 software,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diazreus,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qelzal,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morrison foerster,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cenom,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xact sense,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zeiss,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