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kills,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killing,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slain,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destroy,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destroying,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destroys,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behead,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beheading,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beheaded,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stab,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stabbing,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stabs,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stabbed,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infidels,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infidel,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bomb,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bombing,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bombs,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bombed,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chemical,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chemicals,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chemical warfare,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jihad,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suicide,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suicides,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poison,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poisoned,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poisons,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poisoning,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assassin,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assassins,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assassinated,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assassinating,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assassinates,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massacre,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massacred,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massacring,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death,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dying,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dead,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destruct,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disrupt,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chaos,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fatality,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fatalities,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exterminate,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exterminates,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exterminated,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eradicate,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eradicates,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eradicating,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eradicated,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holocaust,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casualty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annihilist,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annihilation,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explosive,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explode,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exploding,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exploded,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slaughter,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slaughtered,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slaughtering,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slaughters,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smuggle,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smuggles,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smuggled,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smuggling,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smoke,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smoking,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mugged,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mugging,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mugs,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hidden,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hides,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attack,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attacks,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attacked,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attacking,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detonate,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detonated,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detonating,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detonates,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terror,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terrorize,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terrorizing,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terrorized,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defeat,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defeating,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defeated,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defeats,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plotted,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plotting,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planned,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planning,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coordinate,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coordinated,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coordinating,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coordinates,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strike,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striked,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strikes,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striking,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punish,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punished,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punishes,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punishing,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hurts,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hurting,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abuse,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abuses,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abusing,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abused,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expels,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expelled,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expelling,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flogging,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floggs,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flogged,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training,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trained,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abuse,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abuses,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abused,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abusing,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injure,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injury,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injures,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injured,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injuring,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wound,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wounding,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wounded,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wounds,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damage,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damages,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damaged,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damaging,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grief,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grieves,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grieving,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grieved,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pains,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pained,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torture,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torturing,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tortures,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tortured,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insult,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insulted,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insulting,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insults,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proclaim,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proclaimed,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proclaims,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proclaiming,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claimed,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claims,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claiming,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claim,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scarring,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scarred,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scared,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scares,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torment,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tormented,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torments,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tormenting,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