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government,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administration,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governance,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governing,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government activity,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legislating,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lawmaking,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legislation,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misgovernment,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misrule,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trust busting,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govern,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authorities,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administration,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government activity,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governing,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governance,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polity,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federal government,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downing street,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authoritarian state,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palace,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papacy,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pontificate,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totalitarian state,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stratocracy,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empire,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government,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ancien regime,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 government,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bureaucracy,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royal court,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puppet state,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puppet government,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pupet regime,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authoritarian regime,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government-in-exile,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totalitation regime,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local government,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government officials,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government department,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judiciary,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assembly,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executive,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law-makers,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legislative body,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legislature,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officialdom,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legislative assembly,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administration,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judicatory,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judicature,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judicial system,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judiciary,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establishment,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governance,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organisation,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organization,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brass,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governing body,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political science,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politics,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government activity,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administration,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governance,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governing,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social science,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geopolitics,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practical politics,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realpolitik,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