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pPr>
      <w:r>
        <w:t xml:space="preserve">Repurposing Smartphone Sensors as an Ambient Context Recorder for Experimental Reproducibility</w:t>
      </w:r>
    </w:p>
    <w:p>
      <w:pPr>
        <w:pStyle w:val="Author"/>
      </w:pPr>
      <w:r>
        <w:t xml:space="preserve">Caitlin Everett</w:t>
      </w:r>
    </w:p>
    <w:p>
      <w:pPr>
        <w:pStyle w:val="Affiliations"/>
      </w:pPr>
      <w:r>
        <w:t xml:space="preserve">Georgia Institute of Technology, Atlanta, USA</w:t>
      </w:r>
    </w:p>
    <w:p>
      <w:pPr>
        <w:pStyle w:val="Affiliations"/>
      </w:pPr>
      <w:r>
        <w:t xml:space="preserve">Mobile and Ubiquitous Computing — CS-7470 (Summer 2026)</w:t>
      </w:r>
    </w:p>
    <w:p>
      <w:pPr>
        <w:pStyle w:val="E-Mail"/>
        <w:sectPr>
          <w:footerReference w:type="even" r:id="rId8"/>
          <w:pgSz w:w="12240" w:h="15840" w:code="1"/>
          <w:pgMar w:top="1080" w:right="1080" w:bottom="1440" w:left="1080" w:header="720" w:footer="720" w:gutter="0"/>
          <w:cols w:space="720"/>
        </w:sectPr>
      </w:pPr>
      <w:r>
        <w:t xml:space="preserve">caitlineverett@gatech.edu</w:t>
      </w:r>
    </w:p>
    <w:p>
      <w:pPr>
        <w:spacing w:before="160" w:after="40"/>
      </w:pPr>
      <w:r>
        <w:rPr>
          <w:b/>
          <w:sz w:val="22"/>
        </w:rPr>
        <w:t xml:space="preserve">ABSTRACT</w:t>
      </w:r>
    </w:p>
    <w:p>
      <w:pPr>
        <w:pStyle w:val="Abstract"/>
      </w:pPr>
      <w:r>
        <w:t xml:space="preserve">When an experiment fails to reproduce, the cause is often the room, not the protocol: a door left open, the HVAC cycling, a centrifuge next door, a shift in light or humidity—things no one wrote down. Smartphones already carry sensors that can watch these variables passively. This project turns the phone into an always-on </w:t>
      </w:r>
      <w:r>
        <w:rPr>
          <w:i/>
        </w:rPr>
        <w:t xml:space="preserve">ambient context recorder</w:t>
      </w:r>
      <w:r>
        <w:t xml:space="preserve"> for the lab bench. I reimplement two known phone-sensor hacks—a vibration meter and a light/noise logger—then build a new app that logs five built-in sensors (barometer, accelerometer, light, magnetometer, and microphone level) on a shared clock and exports a timestamped record tied to a specific experiment. Since such a tool is only as good as its readings, the core evaluation is a cross-device reliability study: two phones watch the same events and I measure how well they agree. I then test the system on cheap “kitchen science” experiments run in three cities under controlled and disturbed conditions, checking whether the log tells them apart and explains differences between sites. An optional BME280 add-on covers what the phone can't sense—temperature and humidity—and cross-checks its barometer.</w:t>
      </w:r>
    </w:p>
    <w:p>
      <w:pPr>
        <w:pStyle w:val="BodyText"/>
      </w:pPr>
      <w:r>
        <w:rPr>
          <w:b/>
          <w:sz w:val="16"/>
        </w:rPr>
        <w:t xml:space="preserve">CCS Concepts:</w:t>
      </w:r>
      <w:r>
        <w:rPr>
          <w:sz w:val="16"/>
        </w:rPr>
        <w:t xml:space="preserve"> • Human-centered computing → Ubiquitous and mobile computing systems and tools; • Empirical studies in ubiquitous and mobile computing; • General and reference → Measurement.</w:t>
      </w:r>
    </w:p>
    <w:p>
      <w:pPr>
        <w:pStyle w:val="BodyText"/>
      </w:pPr>
      <w:r>
        <w:rPr>
          <w:b/>
          <w:sz w:val="16"/>
        </w:rPr>
        <w:t xml:space="preserve">Keywords:</w:t>
      </w:r>
      <w:r>
        <w:rPr>
          <w:sz w:val="16"/>
        </w:rPr>
        <w:t xml:space="preserve"> mobile sensing, smartphone sensors, ubiquitous computing, reproducibility, ambient context, sensor reliability, calm computing</w:t>
      </w:r>
    </w:p>
    <w:p>
      <w:pPr>
        <w:pStyle w:val="Heading1"/>
      </w:pPr>
      <w:r>
        <w:t xml:space="preserve">Aims &amp; Objectives</w:t>
      </w:r>
    </w:p>
    <w:p>
      <w:pPr>
        <w:pStyle w:val="BodyText"/>
      </w:pPr>
      <w:r>
        <w:t xml:space="preserve">The goal is to turn an ordinary smartphone into a trustworthy recorder of the “invisible variables” around an experiment, and to measure how reliable a consumer-grade instrument really is. Reliability, not features, is the hard part: a log no one trusts is worse than none. The work builds on ubicomp's long line of repurposed-sensor systems (Section 2) and breaks into three measurable objectives.</w:t>
      </w:r>
    </w:p>
    <w:p>
      <w:pPr>
        <w:pStyle w:val="Bullet"/>
      </w:pPr>
      <w:r>
        <w:rPr>
          <w:b/>
        </w:rPr>
        <w:t xml:space="preserve">O1 — Build the recorder.</w:t>
      </w:r>
      <w:r>
        <w:t xml:space="preserve"> A mobile app that samples five built-in sensors (barometer, 3-axis accelerometer, light, magnetometer, and microphone level) on one shared clock and exports each session as a timestamped record linked to an experiment ID. </w:t>
      </w:r>
      <w:r>
        <w:rPr>
          <w:i/>
        </w:rPr>
        <w:t xml:space="preserve">Success:</w:t>
      </w:r>
      <w:r>
        <w:t xml:space="preserve"> a ≥30-minute session with &lt;2% dropped samples that imports cleanly as a notebook entry.</w:t>
      </w:r>
    </w:p>
    <w:p>
      <w:pPr>
        <w:pStyle w:val="Bullet"/>
      </w:pPr>
      <w:r>
        <w:rPr>
          <w:b/>
        </w:rPr>
        <w:t xml:space="preserve">O2 — Reimplement and test two existing hacks.</w:t>
      </w:r>
      <w:r>
        <w:t xml:space="preserve"> Rebuild a vibration meter and a light/noise logger as the recorder's building blocks, then—going beyond copying them—measure their reliability across at least two phones. </w:t>
      </w:r>
      <w:r>
        <w:rPr>
          <w:i/>
        </w:rPr>
        <w:t xml:space="preserve">Success:</w:t>
      </w:r>
      <w:r>
        <w:t xml:space="preserve"> per-sensor inter-device agreement (Pearson correlation and bias) against a shared, repeatable event.</w:t>
      </w:r>
    </w:p>
    <w:p>
      <w:pPr>
        <w:pStyle w:val="Bullet"/>
      </w:pPr>
      <w:r>
        <w:rPr>
          <w:b/>
        </w:rPr>
        <w:t xml:space="preserve">O3 — Test context capture against reproducibility.</w:t>
      </w:r>
      <w:r>
        <w:t xml:space="preserve"> Run the same experiment under a “controlled” and a “disturbed” condition across three participants in three cities, and check whether the log tells the conditions apart and explains differences between sites. </w:t>
      </w:r>
      <w:r>
        <w:rPr>
          <w:i/>
        </w:rPr>
        <w:t xml:space="preserve">Success:</w:t>
      </w:r>
      <w:r>
        <w:t xml:space="preserve"> separable sensor signatures for controlled vs. disturbed runs, and lower between-site variance once a logged covariate is included.</w:t>
      </w:r>
    </w:p>
    <w:p>
      <w:pPr>
        <w:pStyle w:val="Heading1"/>
      </w:pPr>
      <w:r>
        <w:t xml:space="preserve">Background</w:t>
      </w:r>
    </w:p>
    <w:p>
      <w:pPr>
        <w:pStyle w:val="BodyText"/>
      </w:pPr>
      <w:r>
        <w:t xml:space="preserve">Weiser's ubicomp vision describes calm technologies that “weave themselves into the fabric of everyday life until they are indistinguishable from it” [1]. A phone sitting quietly beside an experiment, logging conditions no one is watching, is exactly that.</w:t>
      </w:r>
    </w:p>
    <w:p>
      <w:pPr>
        <w:pStyle w:val="BodyText"/>
      </w:pPr>
      <w:r>
        <w:t xml:space="preserve">The problem is real and well documented. In a survey of 1,576 researchers, over 70% had failed to reproduce someone else's experiment and more than half their own [2], and a replication of 100 psychology studies reproduced fewer than half the original effects [11]. The environment is a known cause: Crabbe et al. ran identical mouse-behavior protocols in three labs with apparatus and procedures rigorously matched, yet still saw systematic, lab-specific differences—evidence that conditions no protocol records can change an outcome [9]. Surveys repeatedly blame uncontrolled temperature, humidity, light, and vibration [2]—variables that sit outside the written protocol but can shape results, especially in physics, chemistry, and the life sciences.</w:t>
      </w:r>
    </w:p>
    <w:p>
      <w:pPr>
        <w:pStyle w:val="BodyText"/>
      </w:pPr>
      <w:r>
        <w:t xml:space="preserve">The research-data-management answer is better metadata: the FAIR principles hold that machine-readable context and provenance are what make results reusable [8], and electronic lab notebooks increasingly try to capture it automatically. In practice, ambient context is still rarely recorded—doing it by hand is tedious, and dedicated monitoring (data loggers, building-monitoring systems, vibration monitors) is siloed, costly per point, and rarely tied to the specific experiment. The opening is a cheap recorder already on the bench that writes context straight into the record.</w:t>
      </w:r>
    </w:p>
    <w:p>
      <w:pPr>
        <w:pStyle w:val="BodyText"/>
      </w:pPr>
      <w:r>
        <w:t xml:space="preserve">The phone is a credible recorder because it is already a scientific instrument. Lane et al. framed it as a general-purpose sensing platform across motion, acoustic, optical, and magnetic channels [3]; phyphox turns the accelerometer, magnetometer, and barometer into calibrated instruments for physics [10]; and phones are argued to democratize measurement tools across science [12]. Ubicomp has repurposed single sensors cleverly: Wu et al. detect door events from the barometer alone via HVAC pressure transients, over 99% accurate [5]; MyShake makes the accelerometer a seismometer that separates quakes from everyday motion [6]; VibroScale makes the phone a weighing scale from its vibration motor [7]. This project differs in intent: instead of one demo, it fuses several channels into one experiment-linked recorder and asks whether the result is trustworthy enough to be metadata.</w:t>
      </w:r>
    </w:p>
    <w:p>
      <w:pPr>
        <w:pStyle w:val="BodyText"/>
      </w:pPr>
      <w:r>
        <w:t xml:space="preserve">That trust question is what separates this from a gimmick. Stisen et al. show “smart devices are different”: the same pipeline degrades across phones because of varied hardware, sampling rates, and OS behavior [4], and consumer sensors ship uncalibrated. A log two phones disagree about is worse than none. What the individual hacks skip—and this project does—is to treat the phone as an instrument to calibrate: measure per-sensor cross-device agreement against a reference, and test whether the log tracks a deliberately changed variable rather than noise. It won't overclaim: not that ambient logs </w:t>
      </w:r>
      <w:r>
        <w:rPr>
          <w:i/>
        </w:rPr>
        <w:t xml:space="preserve">explain</w:t>
      </w:r>
      <w:r>
        <w:t xml:space="preserve"> reproducibility failures, only that a commodity phone can </w:t>
      </w:r>
      <w:r>
        <w:rPr>
          <w:i/>
        </w:rPr>
        <w:t xml:space="preserve">detect and document</w:t>
      </w:r>
      <w:r>
        <w:t xml:space="preserve"> ambient variation well enough to be worth recording—and it tests that directly.</w:t>
      </w:r>
    </w:p>
    <w:p>
      <w:pPr>
        <w:pStyle w:val="Heading1"/>
      </w:pPr>
      <w:r>
        <w:t xml:space="preserve">Outcomes &amp; Deliverables</w:t>
      </w:r>
    </w:p>
    <w:p>
      <w:pPr>
        <w:pStyle w:val="BodyText"/>
      </w:pPr>
      <w:r>
        <w:t xml:space="preserve">The evaluation is a feasibility and reliability study asking:</w:t>
      </w:r>
    </w:p>
    <w:p>
      <w:pPr>
        <w:pStyle w:val="Bullet"/>
      </w:pPr>
      <w:r>
        <w:t xml:space="preserve">Q1. How well do two phones agree on the same event, per channel, and where does agreement break down?</w:t>
      </w:r>
    </w:p>
    <w:p>
      <w:pPr>
        <w:pStyle w:val="Bullet"/>
      </w:pPr>
      <w:r>
        <w:t xml:space="preserve">Q2. Can a fused log reliably tell a “controlled” run from a “disturbed” one?</w:t>
      </w:r>
    </w:p>
    <w:p>
      <w:pPr>
        <w:pStyle w:val="Bullet"/>
      </w:pPr>
      <w:r>
        <w:t xml:space="preserve">Q3. Which channels are trustworthy without per-device calibration, and which need the external sensor?</w:t>
      </w:r>
    </w:p>
    <w:p>
      <w:pPr>
        <w:pStyle w:val="Bullet"/>
      </w:pPr>
      <w:r>
        <w:t xml:space="preserve">Q4. How closely does the phone barometer track the BME280, and what do temperature and humidity add?</w:t>
      </w:r>
    </w:p>
    <w:p>
      <w:pPr>
        <w:pStyle w:val="BodyText"/>
      </w:pPr>
      <w:r>
        <w:rPr>
          <w:b/>
        </w:rPr>
        <w:t xml:space="preserve">Hypothesis and pre-registered analysis plan.</w:t>
      </w:r>
      <w:r>
        <w:t xml:space="preserve"> To avoid post-hoc fishing, three hypotheses and their tests are fixed </w:t>
      </w:r>
      <w:r>
        <w:rPr>
          <w:i/>
        </w:rPr>
        <w:t xml:space="preserve">before</w:t>
      </w:r>
      <w:r>
        <w:t xml:space="preserve"> data collection:</w:t>
      </w:r>
    </w:p>
    <w:p>
      <w:pPr>
        <w:pStyle w:val="Bullet"/>
      </w:pPr>
      <w:r>
        <w:rPr>
          <w:b/>
        </w:rPr>
        <w:t xml:space="preserve">H1 (context sensitivity).</w:t>
      </w:r>
      <w:r>
        <w:t xml:space="preserve"> In a disturbed run, a channel's activity exceeds the same phone's controlled-run 95th-percentile baseline—e.g., accelerometer vibration RMS—tested one-sided per device, and likewise for the light and barometer channels.</w:t>
      </w:r>
    </w:p>
    <w:p>
      <w:pPr>
        <w:pStyle w:val="Bullet"/>
      </w:pPr>
      <w:r>
        <w:rPr>
          <w:b/>
        </w:rPr>
        <w:t xml:space="preserve">H2 (cross-device agreement).</w:t>
      </w:r>
      <w:r>
        <w:t xml:space="preserve"> For each sensor, two phones on the same event agree with Pearson r ≥ 0.9 and a bias within the channel's at-rest noise floor.</w:t>
      </w:r>
    </w:p>
    <w:p>
      <w:pPr>
        <w:pStyle w:val="Bullet"/>
      </w:pPr>
      <w:r>
        <w:rPr>
          <w:b/>
        </w:rPr>
        <w:t xml:space="preserve">H3 (cross-site reproducibility).</w:t>
      </w:r>
      <w:r>
        <w:t xml:space="preserve"> Across the three sites, a fixed protocol gives measurably different outcomes, and between-site variance shrinks once a logged covariate is included—e.g., tablet dissolution time regressed on temperature—showing the log explains part of the non-reproducibility.</w:t>
      </w:r>
    </w:p>
    <w:p>
      <w:pPr>
        <w:pStyle w:val="BodyText"/>
      </w:pPr>
      <w:r>
        <w:t xml:space="preserve">Baselines come from the first controlled run; the events and metrics (Table 1) are fixed before the disturbed runs; every session is anchored to a shared timing fiducial. Negative results count: any channel failing H2 is flagged untrustworthy, not dropped.</w:t>
      </w:r>
    </w:p>
    <w:p>
      <w:pPr>
        <w:pStyle w:val="Caption"/>
      </w:pPr>
      <w:r>
        <w:t xml:space="preserve">Table 1. Repeatable ground-truth events and the metrics computed for each. “Agreement” is measured across two phones; metrics are Pearson r (inter-device correlation), bias (mean difference), and noise floor (at-rest standard deviation).</w:t>
      </w:r>
    </w:p>
    <w:tbl>
      <w:tblPr>
        <w:tblW w:w="4800" w:type="dxa"/>
        <w:tblBorders>
          <w:top w:val="single" w:sz="4" w:color="000000"/>
          <w:bottom w:val="single" w:sz="4" w:color="000000"/>
          <w:insideH w:val="single" w:sz="2" w:color="BFBFBF"/>
        </w:tblBorders>
        <w:tblLook w:val="04A0"/>
      </w:tblPr>
      <w:tblGrid>
        <w:gridCol w:w="1750"/>
        <w:gridCol w:w="1650"/>
        <w:gridCol w:w="1400"/>
      </w:tblGrid>
      <w:tr>
        <w:tc>
          <w:tcPr>
            <w:tcW w:w="1750" w:type="dxa"/>
            <w:shd w:val="clear" w:color="auto" w:fill="F0F0F0"/>
            <w:tcMar>
              <w:top w:w="40" w:type="dxa"/>
              <w:left w:w="80" w:type="dxa"/>
              <w:bottom w:w="40" w:type="dxa"/>
              <w:right w:w="80" w:type="dxa"/>
            </w:tcMar>
          </w:tcPr>
          <w:p>
            <w:pPr>
              <w:spacing w:after="0"/>
            </w:pPr>
            <w:r>
              <w:rPr>
                <w:b/>
                <w:sz w:val="18"/>
              </w:rPr>
              <w:t xml:space="preserve">Repeatable event</w:t>
            </w:r>
          </w:p>
        </w:tc>
        <w:tc>
          <w:tcPr>
            <w:tcW w:w="1650" w:type="dxa"/>
            <w:shd w:val="clear" w:color="auto" w:fill="F0F0F0"/>
            <w:tcMar>
              <w:top w:w="40" w:type="dxa"/>
              <w:left w:w="80" w:type="dxa"/>
              <w:bottom w:w="40" w:type="dxa"/>
              <w:right w:w="80" w:type="dxa"/>
            </w:tcMar>
          </w:tcPr>
          <w:p>
            <w:pPr>
              <w:spacing w:after="0"/>
            </w:pPr>
            <w:r>
              <w:rPr>
                <w:b/>
                <w:sz w:val="18"/>
              </w:rPr>
              <w:t xml:space="preserve">Sensor(s) exercised</w:t>
            </w:r>
          </w:p>
        </w:tc>
        <w:tc>
          <w:tcPr>
            <w:tcW w:w="1400" w:type="dxa"/>
            <w:shd w:val="clear" w:color="auto" w:fill="F0F0F0"/>
            <w:tcMar>
              <w:top w:w="40" w:type="dxa"/>
              <w:left w:w="80" w:type="dxa"/>
              <w:bottom w:w="40" w:type="dxa"/>
              <w:right w:w="80" w:type="dxa"/>
            </w:tcMar>
          </w:tcPr>
          <w:p>
            <w:pPr>
              <w:spacing w:after="0"/>
            </w:pPr>
            <w:r>
              <w:rPr>
                <w:b/>
                <w:sz w:val="18"/>
              </w:rPr>
              <w:t xml:space="preserve">Metrics</w:t>
            </w:r>
          </w:p>
        </w:tc>
      </w:tr>
      <w:tr>
        <w:tc>
          <w:tcPr>
            <w:tcW w:w="1750" w:type="dxa"/>
            <w:tcMar>
              <w:top w:w="40" w:type="dxa"/>
              <w:left w:w="80" w:type="dxa"/>
              <w:bottom w:w="40" w:type="dxa"/>
              <w:right w:w="80" w:type="dxa"/>
            </w:tcMar>
          </w:tcPr>
          <w:p>
            <w:pPr>
              <w:spacing w:after="0"/>
            </w:pPr>
            <w:r>
              <w:rPr>
                <w:sz w:val="18"/>
              </w:rPr>
              <w:t xml:space="preserve">Dropped weight (fixed height)</w:t>
            </w:r>
          </w:p>
        </w:tc>
        <w:tc>
          <w:tcPr>
            <w:tcW w:w="1650" w:type="dxa"/>
            <w:tcMar>
              <w:top w:w="40" w:type="dxa"/>
              <w:left w:w="80" w:type="dxa"/>
              <w:bottom w:w="40" w:type="dxa"/>
              <w:right w:w="80" w:type="dxa"/>
            </w:tcMar>
          </w:tcPr>
          <w:p>
            <w:pPr>
              <w:spacing w:after="0"/>
            </w:pPr>
            <w:r>
              <w:rPr>
                <w:sz w:val="18"/>
              </w:rPr>
              <w:t xml:space="preserve">accelerometer</w:t>
            </w:r>
          </w:p>
        </w:tc>
        <w:tc>
          <w:tcPr>
            <w:tcW w:w="1400" w:type="dxa"/>
            <w:tcMar>
              <w:top w:w="40" w:type="dxa"/>
              <w:left w:w="80" w:type="dxa"/>
              <w:bottom w:w="40" w:type="dxa"/>
              <w:right w:w="80" w:type="dxa"/>
            </w:tcMar>
          </w:tcPr>
          <w:p>
            <w:pPr>
              <w:spacing w:after="0"/>
            </w:pPr>
            <w:r>
              <w:rPr>
                <w:sz w:val="18"/>
              </w:rPr>
              <w:t xml:space="preserve">peak, RMS; r, bias</w:t>
            </w:r>
          </w:p>
        </w:tc>
      </w:tr>
      <w:tr>
        <w:tc>
          <w:tcPr>
            <w:tcW w:w="1750" w:type="dxa"/>
            <w:tcMar>
              <w:top w:w="40" w:type="dxa"/>
              <w:left w:w="80" w:type="dxa"/>
              <w:bottom w:w="40" w:type="dxa"/>
              <w:right w:w="80" w:type="dxa"/>
            </w:tcMar>
          </w:tcPr>
          <w:p>
            <w:pPr>
              <w:spacing w:after="0"/>
            </w:pPr>
            <w:r>
              <w:rPr>
                <w:sz w:val="18"/>
              </w:rPr>
              <w:t xml:space="preserve">Light on/off toggle</w:t>
            </w:r>
          </w:p>
        </w:tc>
        <w:tc>
          <w:tcPr>
            <w:tcW w:w="1650" w:type="dxa"/>
            <w:tcMar>
              <w:top w:w="40" w:type="dxa"/>
              <w:left w:w="80" w:type="dxa"/>
              <w:bottom w:w="40" w:type="dxa"/>
              <w:right w:w="80" w:type="dxa"/>
            </w:tcMar>
          </w:tcPr>
          <w:p>
            <w:pPr>
              <w:spacing w:after="0"/>
            </w:pPr>
            <w:r>
              <w:rPr>
                <w:sz w:val="18"/>
              </w:rPr>
              <w:t xml:space="preserve">ambient light</w:t>
            </w:r>
          </w:p>
        </w:tc>
        <w:tc>
          <w:tcPr>
            <w:tcW w:w="1400" w:type="dxa"/>
            <w:tcMar>
              <w:top w:w="40" w:type="dxa"/>
              <w:left w:w="80" w:type="dxa"/>
              <w:bottom w:w="40" w:type="dxa"/>
              <w:right w:w="80" w:type="dxa"/>
            </w:tcMar>
          </w:tcPr>
          <w:p>
            <w:pPr>
              <w:spacing w:after="0"/>
            </w:pPr>
            <w:r>
              <w:rPr>
                <w:sz w:val="18"/>
              </w:rPr>
              <w:t xml:space="preserve">lux step; r, bias</w:t>
            </w:r>
          </w:p>
        </w:tc>
      </w:tr>
      <w:tr>
        <w:tc>
          <w:tcPr>
            <w:tcW w:w="1750" w:type="dxa"/>
            <w:tcMar>
              <w:top w:w="40" w:type="dxa"/>
              <w:left w:w="80" w:type="dxa"/>
              <w:bottom w:w="40" w:type="dxa"/>
              <w:right w:w="80" w:type="dxa"/>
            </w:tcMar>
          </w:tcPr>
          <w:p>
            <w:pPr>
              <w:spacing w:after="0"/>
            </w:pPr>
            <w:r>
              <w:rPr>
                <w:sz w:val="18"/>
              </w:rPr>
              <w:t xml:space="preserve">Door open/close</w:t>
            </w:r>
          </w:p>
        </w:tc>
        <w:tc>
          <w:tcPr>
            <w:tcW w:w="1650" w:type="dxa"/>
            <w:tcMar>
              <w:top w:w="40" w:type="dxa"/>
              <w:left w:w="80" w:type="dxa"/>
              <w:bottom w:w="40" w:type="dxa"/>
              <w:right w:w="80" w:type="dxa"/>
            </w:tcMar>
          </w:tcPr>
          <w:p>
            <w:pPr>
              <w:spacing w:after="0"/>
            </w:pPr>
            <w:r>
              <w:rPr>
                <w:sz w:val="18"/>
              </w:rPr>
              <w:t xml:space="preserve">barometer</w:t>
            </w:r>
          </w:p>
        </w:tc>
        <w:tc>
          <w:tcPr>
            <w:tcW w:w="1400" w:type="dxa"/>
            <w:tcMar>
              <w:top w:w="40" w:type="dxa"/>
              <w:left w:w="80" w:type="dxa"/>
              <w:bottom w:w="40" w:type="dxa"/>
              <w:right w:w="80" w:type="dxa"/>
            </w:tcMar>
          </w:tcPr>
          <w:p>
            <w:pPr>
              <w:spacing w:after="0"/>
            </w:pPr>
            <w:r>
              <w:rPr>
                <w:sz w:val="18"/>
              </w:rPr>
              <w:t xml:space="preserve">Δpressure; latency</w:t>
            </w:r>
          </w:p>
        </w:tc>
      </w:tr>
      <w:tr>
        <w:tc>
          <w:tcPr>
            <w:tcW w:w="1750" w:type="dxa"/>
            <w:tcMar>
              <w:top w:w="40" w:type="dxa"/>
              <w:left w:w="80" w:type="dxa"/>
              <w:bottom w:w="40" w:type="dxa"/>
              <w:right w:w="80" w:type="dxa"/>
            </w:tcMar>
          </w:tcPr>
          <w:p>
            <w:pPr>
              <w:spacing w:after="0"/>
            </w:pPr>
            <w:r>
              <w:rPr>
                <w:sz w:val="18"/>
              </w:rPr>
              <w:t xml:space="preserve">Stir plate / motor on–off</w:t>
            </w:r>
          </w:p>
        </w:tc>
        <w:tc>
          <w:tcPr>
            <w:tcW w:w="1650" w:type="dxa"/>
            <w:tcMar>
              <w:top w:w="40" w:type="dxa"/>
              <w:left w:w="80" w:type="dxa"/>
              <w:bottom w:w="40" w:type="dxa"/>
              <w:right w:w="80" w:type="dxa"/>
            </w:tcMar>
          </w:tcPr>
          <w:p>
            <w:pPr>
              <w:spacing w:after="0"/>
            </w:pPr>
            <w:r>
              <w:rPr>
                <w:sz w:val="18"/>
              </w:rPr>
              <w:t xml:space="preserve">magnetometer, accel.</w:t>
            </w:r>
          </w:p>
        </w:tc>
        <w:tc>
          <w:tcPr>
            <w:tcW w:w="1400" w:type="dxa"/>
            <w:tcMar>
              <w:top w:w="40" w:type="dxa"/>
              <w:left w:w="80" w:type="dxa"/>
              <w:bottom w:w="40" w:type="dxa"/>
              <w:right w:w="80" w:type="dxa"/>
            </w:tcMar>
          </w:tcPr>
          <w:p>
            <w:pPr>
              <w:spacing w:after="0"/>
            </w:pPr>
            <w:r>
              <w:rPr>
                <w:sz w:val="18"/>
              </w:rPr>
              <w:t xml:space="preserve">field/RMS step; r</w:t>
            </w:r>
          </w:p>
        </w:tc>
      </w:tr>
      <w:tr>
        <w:tc>
          <w:tcPr>
            <w:tcW w:w="1750" w:type="dxa"/>
            <w:tcMar>
              <w:top w:w="40" w:type="dxa"/>
              <w:left w:w="80" w:type="dxa"/>
              <w:bottom w:w="40" w:type="dxa"/>
              <w:right w:w="80" w:type="dxa"/>
            </w:tcMar>
          </w:tcPr>
          <w:p>
            <w:pPr>
              <w:spacing w:after="0"/>
            </w:pPr>
            <w:r>
              <w:rPr>
                <w:sz w:val="18"/>
              </w:rPr>
              <w:t xml:space="preserve">Shared tap / flash</w:t>
            </w:r>
          </w:p>
        </w:tc>
        <w:tc>
          <w:tcPr>
            <w:tcW w:w="1650" w:type="dxa"/>
            <w:tcMar>
              <w:top w:w="40" w:type="dxa"/>
              <w:left w:w="80" w:type="dxa"/>
              <w:bottom w:w="40" w:type="dxa"/>
              <w:right w:w="80" w:type="dxa"/>
            </w:tcMar>
          </w:tcPr>
          <w:p>
            <w:pPr>
              <w:spacing w:after="0"/>
            </w:pPr>
            <w:r>
              <w:rPr>
                <w:sz w:val="18"/>
              </w:rPr>
              <w:t xml:space="preserve">all channels</w:t>
            </w:r>
          </w:p>
        </w:tc>
        <w:tc>
          <w:tcPr>
            <w:tcW w:w="1400" w:type="dxa"/>
            <w:tcMar>
              <w:top w:w="40" w:type="dxa"/>
              <w:left w:w="80" w:type="dxa"/>
              <w:bottom w:w="40" w:type="dxa"/>
              <w:right w:w="80" w:type="dxa"/>
            </w:tcMar>
          </w:tcPr>
          <w:p>
            <w:pPr>
              <w:spacing w:after="0"/>
            </w:pPr>
            <w:r>
              <w:rPr>
                <w:sz w:val="18"/>
              </w:rPr>
              <w:t xml:space="preserve">clock offset (ms)</w:t>
            </w:r>
          </w:p>
        </w:tc>
      </w:tr>
    </w:tbl>
    <w:p>
      <w:pPr>
        <w:pStyle w:val="BodyText"/>
      </w:pPr>
      <w:r>
        <w:rPr>
          <w:b/>
        </w:rPr>
        <w:t xml:space="preserve">Study design: co-located reliability vs. multi-site reproducibility.</w:t>
      </w:r>
      <w:r>
        <w:t xml:space="preserve"> The two axes must not be conflated. Reliability (H2) needs two phones on the </w:t>
      </w:r>
      <w:r>
        <w:rPr>
          <w:i/>
        </w:rPr>
        <w:t xml:space="preserve">same</w:t>
      </w:r>
      <w:r>
        <w:t xml:space="preserve"> event, so it runs co-located: two phones side by side exercise the Table 1 events. Reproducibility (H1, H3) runs across three climatically distinct sites—Chicago, Brooklyn, and Jacksonville—one participant each. The cities differ in temperature, humidity, and air-conditioning, giving the uncontrolled variation the recorder is meant to capture. Each participant runs the same protocol in the most natural home bench—an open kitchen—rather than a quiet room, so real ambient events (HVAC and fridge cycling, doors and windows, foot traffic, daylight) are observed, not suppressed. Three cheap, food-safe tests are used: antacid-tablet dissolution at several water temperatures (rate roughly doubles per 10 °C, a clean temperature signal), ice-cube melt time, and drying time of a standard wet square (evaporation depends on humidity the phone can't sense, motivating the BME280). Setup is standardized—fixed phone placement and counter, away from stove or oven—and each test is a timestamped session under a controlled and a disturbed condition. Active tests run sequentially so they don't contaminate each other (the tablet's fizz and the fan would pollute the mic and vibration channels); the slow drying test can run in the background.</w:t>
      </w:r>
    </w:p>
    <w:p>
      <w:pPr>
        <w:pStyle w:val="BodyText"/>
      </w:pPr>
      <w:r>
        <w:t xml:space="preserve">Deliverables for the demo and final report:</w:t>
      </w:r>
    </w:p>
    <w:p>
      <w:pPr>
        <w:pStyle w:val="Bullet"/>
      </w:pPr>
      <w:r>
        <w:t xml:space="preserve">1. A </w:t>
      </w:r>
      <w:r>
        <w:rPr>
          <w:b/>
        </w:rPr>
        <w:t xml:space="preserve">functional iOS app</w:t>
      </w:r>
      <w:r>
        <w:t xml:space="preserve"> (Core Motion [13, 14, 15] for the barometer, accelerometer, and magnetometer; camera-derived luminance [17] for light, since iOS exposes no public ambient-light API; and AVAudioRecorder metering [16] for microphone level, no audio saved) that logs five channels on a shared clock and exports a timestamped, experiment-linked record.</w:t>
      </w:r>
    </w:p>
    <w:p>
      <w:pPr>
        <w:pStyle w:val="Bullet"/>
      </w:pPr>
      <w:r>
        <w:t xml:space="preserve">2. </w:t>
      </w:r>
      <w:r>
        <w:rPr>
          <w:b/>
        </w:rPr>
        <w:t xml:space="preserve">Two reimplemented hacks</w:t>
      </w:r>
      <w:r>
        <w:t xml:space="preserve">—a vibration meter and a light/noise logger—integrated as reusable modules of the recorder.</w:t>
      </w:r>
    </w:p>
    <w:p>
      <w:pPr>
        <w:pStyle w:val="Bullet"/>
      </w:pPr>
      <w:r>
        <w:t xml:space="preserve">3. A </w:t>
      </w:r>
      <w:r>
        <w:rPr>
          <w:b/>
        </w:rPr>
        <w:t xml:space="preserve">labeled dataset</w:t>
      </w:r>
      <w:r>
        <w:t xml:space="preserve"> from the calibration and multi-site runs, ready for others to reanalyze.</w:t>
      </w:r>
    </w:p>
    <w:p>
      <w:pPr>
        <w:pStyle w:val="Bullet"/>
      </w:pPr>
      <w:r>
        <w:t xml:space="preserve">4. A </w:t>
      </w:r>
      <w:r>
        <w:rPr>
          <w:b/>
        </w:rPr>
        <w:t xml:space="preserve">cross-device reliability analysis</w:t>
      </w:r>
      <w:r>
        <w:t xml:space="preserve"> reporting per-sensor inter-device correlation, bias, and noise floor.</w:t>
      </w:r>
    </w:p>
    <w:p>
      <w:pPr>
        <w:pStyle w:val="Bullet"/>
      </w:pPr>
      <w:r>
        <w:t xml:space="preserve">5. </w:t>
      </w:r>
      <w:r>
        <w:rPr>
          <w:b/>
        </w:rPr>
        <w:t xml:space="preserve">(Stretch) An external ESP32 + BME280 module</w:t>
      </w:r>
      <w:r>
        <w:t xml:space="preserve"> [19, 20] with firmware that broadcasts temperature, humidity, and pressure over Bluetooth Low Energy [18] and cross-checks the phone barometer.</w:t>
      </w:r>
    </w:p>
    <w:p>
      <w:pPr>
        <w:pStyle w:val="Bullet"/>
      </w:pPr>
      <w:r>
        <w:t xml:space="preserve">6. A </w:t>
      </w:r>
      <w:r>
        <w:rPr>
          <w:b/>
        </w:rPr>
        <w:t xml:space="preserve">demo video and ACM-formatted report</w:t>
      </w:r>
      <w:r>
        <w:t xml:space="preserve">; the app and record schema released open-source as the give-back.</w:t>
      </w:r>
    </w:p>
    <w:p>
      <w:pPr>
        <w:pStyle w:val="BodyText"/>
      </w:pPr>
      <w:r>
        <w:t xml:space="preserve">The knowledge outcome is a clear picture of how reliable commodity-phone sensing is for metadata, plus a reusable record schema. The practical target is a cheap “black-box recorder” for the bench that any lab—including teaching and field settings—could run on a spare phone instead of dedicated data loggers, feeding ambient metadata straight into a notebook.</w:t>
      </w:r>
    </w:p>
    <w:p>
      <w:pPr>
        <w:pStyle w:val="Heading1"/>
      </w:pPr>
      <w:r>
        <w:t xml:space="preserve">Challenges / Alignment to Class</w:t>
      </w:r>
    </w:p>
    <w:p>
      <w:pPr>
        <w:pStyle w:val="BodyText"/>
      </w:pPr>
      <w:r>
        <w:t xml:space="preserve">The hardest challenge is sensor heterogeneity and trust [4]. Two phones may scale, filter, or timestamp the same event differently, and consumer sensors ship uncalibrated. The reliability study meets this head-on and is the contribution; a channel that proves untrustworthy is still a finding.</w:t>
      </w:r>
    </w:p>
    <w:p>
      <w:pPr>
        <w:pStyle w:val="BodyText"/>
      </w:pPr>
      <w:r>
        <w:t xml:space="preserve">Second is time sync—across the phone's own sensors (different rates) and across two phones (drifting clocks); a shared monotonic clock and a physical sync event (a tap or flash) anchor the streams. Third is iOS background-execution limits and Core Motion delivery caps, which can drop or throttle samples during a long session, so the harness logs its own sampling health. Fourth, specific to iOS: there is no public ambient-light API, so light is derived from the camera—a deliberate workaround [17]. Fifth is signal versus noise—which accelerometer or mic excursions are real bench events versus handling.</w:t>
      </w:r>
    </w:p>
    <w:p>
      <w:pPr>
        <w:pStyle w:val="BodyText"/>
      </w:pPr>
      <w:r>
        <w:t xml:space="preserve">Privacy is a design constraint with an ethical edge: the mic logs sound level only, never audio, keeping the tool acceptable in a shared lab. This is a ubicomp problem, not just software—it repurposes consumer sensors as implicit instruments that vanish into the bench (Weiser's calm computing [1]) and takes on the field's recurring question of whether commodity sensing is reliable enough to act on [3, 4]. Beyond the online hacks, the contribution is fusing several sensors into one experiment-linked record and measuring the cross-device reliability those hacks leave untested.</w:t>
      </w:r>
    </w:p>
    <w:p>
      <w:pPr>
        <w:pStyle w:val="BodyText"/>
      </w:pPr>
      <w:r>
        <w:t xml:space="preserve">The course maps onto these challenges directly: calm and implicit sensing frames the always-on design; inference from noisy sensor streams informs the signal-versus-noise and sampling-health work; ubicomp evaluation methods shape the reliability study and pre-registered plan; and privacy in pervasive sensing justifies the sound-level-only mic. Its survey of mobile-sensing techniques is also the launch point for the two reimplemented hacks.</w:t>
      </w:r>
    </w:p>
    <w:p>
      <w:pPr>
        <w:pStyle w:val="BodyText"/>
      </w:pPr>
      <w:r>
        <w:rPr>
          <w:b/>
        </w:rPr>
        <w:t xml:space="preserve">Threats to validity.</w:t>
      </w:r>
      <w:r>
        <w:t xml:space="preserve"> </w:t>
      </w:r>
      <w:r>
        <w:rPr>
          <w:i/>
        </w:rPr>
        <w:t xml:space="preserve">Clock skew</w:t>
      </w:r>
      <w:r>
        <w:t xml:space="preserve"> between phones could look like disagreement; a shared clock and sync fiducial bound it, reported as a measured offset. </w:t>
      </w:r>
      <w:r>
        <w:rPr>
          <w:i/>
        </w:rPr>
        <w:t xml:space="preserve">Absolute calibration</w:t>
      </w:r>
      <w:r>
        <w:t xml:space="preserve"> is unavailable on consumer sensors, so the study reports </w:t>
      </w:r>
      <w:r>
        <w:rPr>
          <w:i/>
        </w:rPr>
        <w:t xml:space="preserve">relative</w:t>
      </w:r>
      <w:r>
        <w:t xml:space="preserve"> agreement and cross-checks pressure against the BME280 rather than claiming absolute accuracy. </w:t>
      </w:r>
      <w:r>
        <w:rPr>
          <w:i/>
        </w:rPr>
        <w:t xml:space="preserve">Small n</w:t>
      </w:r>
      <w:r>
        <w:t xml:space="preserve">—one author and a few collaborators—makes this a feasibility signal, not a population estimate. </w:t>
      </w:r>
      <w:r>
        <w:rPr>
          <w:i/>
        </w:rPr>
        <w:t xml:space="preserve">Confounds</w:t>
      </w:r>
      <w:r>
        <w:t xml:space="preserve"> arise because a disturbed run changes several things at once and the cities differ in more than the target variable; single-variable manipulations (only the door, only the light) isolate within-site effects, and between-site comparisons lean on the logged covariates. Finally, </w:t>
      </w:r>
      <w:r>
        <w:rPr>
          <w:i/>
        </w:rPr>
        <w:t xml:space="preserve">sampling gaps</w:t>
      </w:r>
      <w:r>
        <w:t xml:space="preserve"> from iOS background limits are logged as sampling-health metadata so degraded sessions are visible, not silent.</w:t>
      </w:r>
    </w:p>
    <w:p>
      <w:pPr>
        <w:pStyle w:val="Heading1"/>
      </w:pPr>
      <w:r>
        <w:t xml:space="preserve">Project Plan &amp; Timeline</w:t>
      </w:r>
    </w:p>
    <w:p>
      <w:pPr>
        <w:pStyle w:val="BodyText"/>
      </w:pPr>
      <w:r>
        <w:t xml:space="preserve">A three-week solo build (Jul 13–31), then the demo (Jul 27) and final report (Aug 4). Each week ends at a checkpoint, with buffer days for when things go wrong—not if. Since the reliability study is the core contribution, the app stays minimal: polish and extras are cut first if time is short, never the study. Figure 1 shows the plan.</w:t>
      </w:r>
    </w:p>
    <w:p>
      <w:pPr>
        <w:pStyle w:val="BodyText"/>
      </w:pPr>
      <w:r>
        <w:rPr>
          <w:b/>
        </w:rPr>
        <w:t xml:space="preserve">Week 1 (Jul 13–19) — Literature and building blocks.</w:t>
      </w:r>
      <w:r>
        <w:t xml:space="preserve"> Scan ISWC/IMWUT/CHI and Hackaday for prior hacks. Reimplement the two hacks and stand up the multi-sensor logging harness on a shared clock. </w:t>
      </w:r>
      <w:r>
        <w:rPr>
          <w:i/>
        </w:rPr>
        <w:t xml:space="preserve">Checkpoint:</w:t>
      </w:r>
      <w:r>
        <w:t xml:space="preserve"> all five sensors logging to a timestamped file with sampling-health monitoring.</w:t>
      </w:r>
    </w:p>
    <w:p>
      <w:pPr>
        <w:pStyle w:val="BodyText"/>
      </w:pPr>
      <w:r>
        <w:rPr>
          <w:b/>
        </w:rPr>
        <w:t xml:space="preserve">Week 2 (Jul 20–26) — App and study.</w:t>
      </w:r>
      <w:r>
        <w:t xml:space="preserve"> Build the recorder on the harness: session model, experiment-linked export, notebook format. Pre-register hypotheses and metrics, then run the co-located calibration (two phones, same events) and the multi-site runs—the three kitchen tests across Chicago, Brooklyn, and Jacksonville, controlled vs. disturbed. </w:t>
      </w:r>
      <w:r>
        <w:rPr>
          <w:i/>
        </w:rPr>
        <w:t xml:space="preserve">Checkpoint:</w:t>
      </w:r>
      <w:r>
        <w:t xml:space="preserve"> complete paired datasets from both phones and all three sites.</w:t>
      </w:r>
    </w:p>
    <w:p>
      <w:pPr>
        <w:pStyle w:val="BodyText"/>
      </w:pPr>
      <w:r>
        <w:rPr>
          <w:b/>
        </w:rPr>
        <w:t xml:space="preserve">Week 3 (Jul 27–31) — Analysis, demo, stretch.</w:t>
      </w:r>
      <w:r>
        <w:t xml:space="preserve"> Compute per-sensor agreement and test whether the log separates conditions and explains between-site differences. Record the demo. If ahead, build the ESP32 + BME280 add-on and cross-check the barometer. </w:t>
      </w:r>
      <w:r>
        <w:rPr>
          <w:i/>
        </w:rPr>
        <w:t xml:space="preserve">Checkpoint:</w:t>
      </w:r>
      <w:r>
        <w:t xml:space="preserve"> reliability results and a working demo; buffer absorbs overruns.</w:t>
      </w:r>
    </w:p>
    <w:p>
      <w:pPr>
        <w:pStyle w:val="BodyText"/>
      </w:pPr>
      <w:r>
        <w:rPr>
          <w:b/>
        </w:rPr>
        <w:t xml:space="preserve">Wrap (Aug 1–4) — Reporting.</w:t>
      </w:r>
      <w:r>
        <w:t xml:space="preserve"> Finish analysis, write the final report (Aug 4), and release the app and schema.</w:t>
      </w:r>
    </w:p>
    <w:p>
      <w:pPr>
        <w:spacing w:before="80" w:after="20"/>
        <w:jc w:val="center"/>
      </w:pPr>
      <w:r>
        <w:drawing>
          <wp:inline distT="0" distB="0" distL="0" distR="0">
            <wp:extent cx="3040000" cy="1410000"/>
            <wp:effectExtent l="0" t="0" r="0" b="0"/>
            <wp:docPr id="101" name="Gantt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gantt.png"/>
                    <pic:cNvPicPr/>
                  </pic:nvPicPr>
                  <pic:blipFill>
                    <a:blip r:embed="rId21"/>
                    <a:stretch>
                      <a:fillRect/>
                    </a:stretch>
                  </pic:blipFill>
                  <pic:spPr>
                    <a:xfrm>
                      <a:off x="0" y="0"/>
                      <a:ext cx="3040000" cy="1410000"/>
                    </a:xfrm>
                    <a:prstGeom prst="rect">
                      <a:avLst/>
                    </a:prstGeom>
                  </pic:spPr>
                </pic:pic>
              </a:graphicData>
            </a:graphic>
          </wp:inline>
        </w:drawing>
      </w:r>
    </w:p>
    <w:p>
      <w:pPr>
        <w:pStyle w:val="Caption"/>
      </w:pPr>
      <w:r>
        <w:t xml:space="preserve">Figure 1. Three-week solo project timeline with buffer.</w:t>
      </w:r>
    </w:p>
    <w:p>
      <w:pPr>
        <w:spacing w:before="160" w:after="40"/>
      </w:pPr>
      <w:r>
        <w:rPr>
          <w:b/>
          <w:sz w:val="22"/>
        </w:rPr>
        <w:t xml:space="preserve">Ethics and Privacy Statement</w:t>
      </w:r>
    </w:p>
    <w:p>
      <w:pPr>
        <w:pStyle w:val="BodyText"/>
      </w:pPr>
      <w:r>
        <w:t xml:space="preserve">The recorder logs microphone sound level only, never audio, so conversations in a shared lab aren't captured; the other channels (pressure, motion, light, magnetic field) hold no personal content. The benefit is more reproducible science from cheap, automatic context capture, and any human involvement is limited to the author and consenting collaborators running simple demos.</w:t>
      </w:r>
    </w:p>
    <w:p>
      <w:pPr>
        <w:spacing w:before="160" w:after="40"/>
      </w:pPr>
      <w:r>
        <w:rPr>
          <w:b/>
          <w:sz w:val="22"/>
        </w:rPr>
        <w:t xml:space="preserve">Acknowledgments</w:t>
      </w:r>
    </w:p>
    <w:p>
      <w:pPr>
        <w:pStyle w:val="BodyText"/>
      </w:pPr>
      <w:r>
        <w:t xml:space="preserve">Thanks to the CS-7470 course staff for guidance on scoping this project.</w:t>
      </w:r>
    </w:p>
    <w:p>
      <w:pPr>
        <w:spacing w:before="160" w:after="40"/>
      </w:pPr>
      <w:r>
        <w:rPr>
          <w:b/>
          <w:sz w:val="22"/>
        </w:rPr>
        <w:t xml:space="preserve">References</w:t>
      </w:r>
    </w:p>
    <w:p>
      <w:pPr>
        <w:spacing w:after="40"/>
        <w:ind w:left="240" w:hanging="240"/>
      </w:pPr>
      <w:r>
        <w:rPr>
          <w:sz w:val="16"/>
        </w:rPr>
        <w:t xml:space="preserve">[1] Mark Weiser. 1991. The Computer for the 21st Century. Scientific American 265, 3, 94–104.</w:t>
      </w:r>
    </w:p>
    <w:p>
      <w:pPr>
        <w:spacing w:after="40"/>
        <w:ind w:left="240" w:hanging="240"/>
      </w:pPr>
      <w:r>
        <w:rPr>
          <w:sz w:val="16"/>
        </w:rPr>
        <w:t xml:space="preserve">[2] Monya Baker. 2016. 1,500 scientists lift the lid on reproducibility. Nature 533, 7604, 452–454. https://doi.org/10.1038/533452a</w:t>
      </w:r>
    </w:p>
    <w:p>
      <w:pPr>
        <w:spacing w:after="40"/>
        <w:ind w:left="240" w:hanging="240"/>
      </w:pPr>
      <w:r>
        <w:rPr>
          <w:sz w:val="16"/>
        </w:rPr>
        <w:t xml:space="preserve">[3] Nicholas D. Lane, Emiliano Miluzzo, Hong Lu, Daniel Peebles, Tanzeem Choudhury, and Andrew T. Campbell. 2010. A Survey of Mobile Phone Sensing. IEEE Communications Magazine 48, 9, 140–150. https://doi.org/10.1109/MCOM.2010.5560598</w:t>
      </w:r>
    </w:p>
    <w:p>
      <w:pPr>
        <w:spacing w:after="40"/>
        <w:ind w:left="240" w:hanging="240"/>
      </w:pPr>
      <w:r>
        <w:rPr>
          <w:sz w:val="16"/>
        </w:rPr>
        <w:t xml:space="preserve">[4] Allan Stisen, Henrik Blunck, Sourav Bhattacharya, Thor Siiger Prentow, Mikkel Baun Kjærgaard, Anind Dey, Tobias Sonne, and Mads Møller Jensen. 2015. Smart Devices are Different: Assessing and Mitigating Mobile Sensing Heterogeneities for Activity Recognition. In Proc. SenSys ’15. ACM, 127–140. https://doi.org/10.1145/2809695.2809718</w:t>
      </w:r>
    </w:p>
    <w:p>
      <w:pPr>
        <w:spacing w:after="40"/>
        <w:ind w:left="240" w:hanging="240"/>
      </w:pPr>
      <w:r>
        <w:rPr>
          <w:sz w:val="16"/>
        </w:rPr>
        <w:t xml:space="preserve">[5] Muchen Wu, Parth H. Pathak, and Prasant Mohapatra. 2015. Monitoring Building Door Events using Barometer Sensor in Smartphones. In Proc. UbiComp ’15. ACM, 319–323. https://doi.org/10.1145/2750858.2804257</w:t>
      </w:r>
    </w:p>
    <w:p>
      <w:pPr>
        <w:spacing w:after="40"/>
        <w:ind w:left="240" w:hanging="240"/>
      </w:pPr>
      <w:r>
        <w:rPr>
          <w:sz w:val="16"/>
        </w:rPr>
        <w:t xml:space="preserve">[6] Qingkai Kong, Richard M. Allen, Louis Schreier, and Young-Woo Kwon. 2016. MyShake: A smartphone seismic network for earthquake early warning and beyond. Science Advances 2, 2, e1501055. https://doi.org/10.1126/sciadv.1501055</w:t>
      </w:r>
    </w:p>
    <w:p>
      <w:pPr>
        <w:spacing w:after="40"/>
        <w:ind w:left="240" w:hanging="240"/>
      </w:pPr>
      <w:r>
        <w:rPr>
          <w:sz w:val="16"/>
        </w:rPr>
        <w:t xml:space="preserve">[7] Shibo Zhang, Qiuyang Xu, Sougata Sen, and Nabil Alshurafa. 2020. VibroScale: Turning Your Smartphone into a Weighing Scale. In UbiComp/ISWC ’20 Adjunct. ACM. https://doi.org/10.1145/3410530.3414397</w:t>
      </w:r>
    </w:p>
    <w:p>
      <w:pPr>
        <w:spacing w:after="40"/>
        <w:ind w:left="240" w:hanging="240"/>
      </w:pPr>
      <w:r>
        <w:rPr>
          <w:sz w:val="16"/>
        </w:rPr>
        <w:t xml:space="preserve">[8] Mark D. Wilkinson et al. 2016. The FAIR Guiding Principles for scientific data management and stewardship. Scientific Data 3, 160018. https://doi.org/10.1038/sdata.2016.18</w:t>
      </w:r>
    </w:p>
    <w:p>
      <w:pPr>
        <w:spacing w:after="40"/>
        <w:ind w:left="240" w:hanging="240"/>
      </w:pPr>
      <w:r>
        <w:rPr>
          <w:sz w:val="16"/>
        </w:rPr>
        <w:t xml:space="preserve">[9] John C. Crabbe, Douglas Wahlsten, and Bruce C. Dudek. 1999. Genetics of Mouse Behavior: Interactions with Laboratory Environment. Science 284, 5420, 1670–1672. https://doi.org/10.1126/science.284.5420.1670</w:t>
      </w:r>
    </w:p>
    <w:p>
      <w:pPr>
        <w:spacing w:after="40"/>
        <w:ind w:left="240" w:hanging="240"/>
      </w:pPr>
      <w:r>
        <w:rPr>
          <w:sz w:val="16"/>
        </w:rPr>
        <w:t xml:space="preserve">[10] Sebastian Staacks, Simon Hütz, Heidrun Heinke, and Christoph Stampfer. 2018. Advanced Tools for Smartphone-based Experiments: phyphox. Physics Education 53, 4, 045009. https://doi.org/10.1088/1361-6552/aac05e</w:t>
      </w:r>
    </w:p>
    <w:p>
      <w:pPr>
        <w:spacing w:after="40"/>
        <w:ind w:left="240" w:hanging="240"/>
      </w:pPr>
      <w:r>
        <w:rPr>
          <w:sz w:val="16"/>
        </w:rPr>
        <w:t xml:space="preserve">[11] Open Science Collaboration. 2015. Estimating the Reproducibility of Psychological Science. Science 349, 6251, aac4716. https://doi.org/10.1126/science.aac4716</w:t>
      </w:r>
    </w:p>
    <w:p>
      <w:pPr>
        <w:spacing w:after="40"/>
        <w:ind w:left="240" w:hanging="240"/>
      </w:pPr>
      <w:r>
        <w:rPr>
          <w:sz w:val="16"/>
        </w:rPr>
        <w:t xml:space="preserve">[12] Aydogan Ozcan. 2014. Mobile phones democratize and cultivate next-generation imaging, diagnostics and measurement tools. Lab on a Chip 14, 17, 3187–3194. https://doi.org/10.1039/C4LC00010B</w:t>
      </w:r>
    </w:p>
    <w:p>
      <w:pPr>
        <w:spacing w:before="80" w:after="20"/>
      </w:pPr>
      <w:r>
        <w:rPr>
          <w:b/>
          <w:i/>
          <w:sz w:val="18"/>
        </w:rPr>
        <w:t xml:space="preserve">SDK, API &amp; Sensor Documentation (Apple iOS)</w:t>
      </w:r>
    </w:p>
    <w:p>
      <w:pPr>
        <w:spacing w:after="40"/>
        <w:ind w:left="240" w:hanging="240"/>
      </w:pPr>
      <w:r>
        <w:rPr>
          <w:sz w:val="16"/>
        </w:rPr>
        <w:t xml:space="preserve">[13] Apple Inc. 2024. Core Motion (framework). https://developer.apple.com/documentation/coremotion</w:t>
      </w:r>
    </w:p>
    <w:p>
      <w:pPr>
        <w:spacing w:after="40"/>
        <w:ind w:left="240" w:hanging="240"/>
      </w:pPr>
      <w:r>
        <w:rPr>
          <w:sz w:val="16"/>
        </w:rPr>
        <w:t xml:space="preserve">[14] Apple Inc. 2024. CMAltimeter — barometric pressure and relative altitude. https://developer.apple.com/documentation/coremotion/cmaltimeter</w:t>
      </w:r>
    </w:p>
    <w:p>
      <w:pPr>
        <w:spacing w:after="40"/>
        <w:ind w:left="240" w:hanging="240"/>
      </w:pPr>
      <w:r>
        <w:rPr>
          <w:sz w:val="16"/>
        </w:rPr>
        <w:t xml:space="preserve">[15] Apple Inc. 2024. CMMotionManager — accelerometer, magnetometer, and device motion. https://developer.apple.com/documentation/coremotion/cmmotionmanager</w:t>
      </w:r>
    </w:p>
    <w:p>
      <w:pPr>
        <w:spacing w:after="40"/>
        <w:ind w:left="240" w:hanging="240"/>
      </w:pPr>
      <w:r>
        <w:rPr>
          <w:sz w:val="16"/>
        </w:rPr>
        <w:t xml:space="preserve">[16] Apple Inc. 2024. AVAudioRecorder — audio metering. https://developer.apple.com/documentation/avfaudio/avaudiorecorder</w:t>
      </w:r>
    </w:p>
    <w:p>
      <w:pPr>
        <w:spacing w:after="40"/>
        <w:ind w:left="240" w:hanging="240"/>
      </w:pPr>
      <w:r>
        <w:rPr>
          <w:sz w:val="16"/>
        </w:rPr>
        <w:t xml:space="preserve">[17] Apple Inc. 2024. AVCaptureDevice (AVFoundation). https://developer.apple.com/documentation/avfoundation/avcapturedevice</w:t>
      </w:r>
    </w:p>
    <w:p>
      <w:pPr>
        <w:spacing w:after="40"/>
        <w:ind w:left="240" w:hanging="240"/>
      </w:pPr>
      <w:r>
        <w:rPr>
          <w:sz w:val="16"/>
        </w:rPr>
        <w:t xml:space="preserve">[18] Apple Inc. 2024. Core Bluetooth — CBCentralManager. https://developer.apple.com/documentation/corebluetooth/cbcentralmanager</w:t>
      </w:r>
    </w:p>
    <w:p>
      <w:pPr>
        <w:spacing w:after="40"/>
        <w:ind w:left="240" w:hanging="240"/>
      </w:pPr>
      <w:r>
        <w:rPr>
          <w:sz w:val="16"/>
        </w:rPr>
        <w:t xml:space="preserve">[19] Espressif Systems. 2023. ESP32 Series Datasheet, v5.2. https://www.espressif.com/sites/default/files/documentation/esp32_datasheet_en.pdf</w:t>
      </w:r>
    </w:p>
    <w:p>
      <w:pPr>
        <w:spacing w:after="40"/>
        <w:ind w:left="240" w:hanging="240"/>
      </w:pPr>
      <w:r>
        <w:rPr>
          <w:sz w:val="16"/>
        </w:rPr>
        <w:t xml:space="preserve">[20] Bosch Sensortec. 2020. BME280: Combined Humidity and Pressure Sensor — Datasheet BST-BME280-DS002. https://www.bosch-sensortec.com/media/boschsensortec/downloads/datasheets/bst-bme280-ds002.pdf</w:t>
      </w:r>
    </w:p>
    <w:sectPr>
      <w:type w:val="continuous"/>
      <w:pgSz w:w="12240" w:h="15840" w:code="1"/>
      <w:pgMar w:top="1080" w:right="1080" w:bottom="1440" w:left="1080" w:header="720" w:footer="720" w:gutter="0"/>
      <w:cols w:num="2" w:space="47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0B73" w:rsidRDefault="00A60B73">
      <w:r>
        <w:separator/>
      </w:r>
    </w:p>
  </w:endnote>
  <w:endnote w:type="continuationSeparator" w:id="0">
    <w:p w:rsidR="00A60B73" w:rsidRDefault="00A60B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iriam">
    <w:panose1 w:val="020B0502050101010101"/>
    <w:charset w:val="B1"/>
    <w:family w:val="swiss"/>
    <w:pitch w:val="variable"/>
    <w:sig w:usb0="00000801" w:usb1="00000000" w:usb2="00000000" w:usb3="00000000" w:csb0="00000020" w:csb1="00000000"/>
  </w:font>
  <w:font w:name="Times">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05B5" w:rsidRDefault="00A105B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A105B5" w:rsidRDefault="00A105B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0B73" w:rsidRDefault="00A60B73">
      <w:r>
        <w:separator/>
      </w:r>
    </w:p>
  </w:footnote>
  <w:footnote w:type="continuationSeparator" w:id="0">
    <w:p w:rsidR="00A60B73" w:rsidRDefault="00A60B73">
      <w:r>
        <w:continuationSeparator/>
      </w:r>
    </w:p>
  </w:footnote>
  <w:footnote w:id="1">
    <w:p w:rsidR="00A105B5" w:rsidRDefault="00A105B5">
      <w:pPr>
        <w:pStyle w:val="FootnoteText"/>
      </w:pPr>
      <w:r>
        <w:rPr>
          <w:rStyle w:val="FootnoteReference"/>
        </w:rPr>
        <w:footnoteRef/>
      </w:r>
      <w:r>
        <w:tab/>
        <w:t>If necessary, you may place some address information in a footnote, or in a named section at the end of your paper.</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08CF"/>
    <w:rsid w:val="00016D54"/>
    <w:rsid w:val="000355F6"/>
    <w:rsid w:val="0009634A"/>
    <w:rsid w:val="000A6043"/>
    <w:rsid w:val="001378B9"/>
    <w:rsid w:val="001578EE"/>
    <w:rsid w:val="00172159"/>
    <w:rsid w:val="001E4A9D"/>
    <w:rsid w:val="00206035"/>
    <w:rsid w:val="00276401"/>
    <w:rsid w:val="0027698B"/>
    <w:rsid w:val="002D2C9C"/>
    <w:rsid w:val="002D6A57"/>
    <w:rsid w:val="00375299"/>
    <w:rsid w:val="00377A65"/>
    <w:rsid w:val="003B4153"/>
    <w:rsid w:val="003E3258"/>
    <w:rsid w:val="00474255"/>
    <w:rsid w:val="004D68FC"/>
    <w:rsid w:val="00571CED"/>
    <w:rsid w:val="005842F9"/>
    <w:rsid w:val="005B6A93"/>
    <w:rsid w:val="005D28A1"/>
    <w:rsid w:val="00603A4D"/>
    <w:rsid w:val="0061710B"/>
    <w:rsid w:val="0062758A"/>
    <w:rsid w:val="0068547D"/>
    <w:rsid w:val="0069356A"/>
    <w:rsid w:val="006A044B"/>
    <w:rsid w:val="006A1FA3"/>
    <w:rsid w:val="006D451E"/>
    <w:rsid w:val="00737114"/>
    <w:rsid w:val="00787583"/>
    <w:rsid w:val="00793DF2"/>
    <w:rsid w:val="007C08CF"/>
    <w:rsid w:val="007C3600"/>
    <w:rsid w:val="008536AF"/>
    <w:rsid w:val="0087467E"/>
    <w:rsid w:val="008B0897"/>
    <w:rsid w:val="008B197E"/>
    <w:rsid w:val="008B1A77"/>
    <w:rsid w:val="008F7414"/>
    <w:rsid w:val="00941EFD"/>
    <w:rsid w:val="009B701B"/>
    <w:rsid w:val="009D7B5B"/>
    <w:rsid w:val="009F334B"/>
    <w:rsid w:val="00A105B5"/>
    <w:rsid w:val="00A60B73"/>
    <w:rsid w:val="00A66E61"/>
    <w:rsid w:val="00AA718F"/>
    <w:rsid w:val="00AE2664"/>
    <w:rsid w:val="00B606DF"/>
    <w:rsid w:val="00B63F89"/>
    <w:rsid w:val="00B91AA9"/>
    <w:rsid w:val="00BC4C60"/>
    <w:rsid w:val="00BF3697"/>
    <w:rsid w:val="00C7584B"/>
    <w:rsid w:val="00CB4646"/>
    <w:rsid w:val="00CC70B8"/>
    <w:rsid w:val="00CD7EC6"/>
    <w:rsid w:val="00D3292B"/>
    <w:rsid w:val="00DA70EA"/>
    <w:rsid w:val="00DB7AD4"/>
    <w:rsid w:val="00E26518"/>
    <w:rsid w:val="00E3178B"/>
    <w:rsid w:val="00EC1F6A"/>
    <w:rsid w:val="00ED3D93"/>
    <w:rsid w:val="00F34659"/>
    <w:rsid w:val="00F50B82"/>
    <w:rsid w:val="00F5619A"/>
    <w:rsid w:val="00F964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ountry-region"/>
  <w:smartTagType w:namespaceuri="urn:schemas-microsoft-com:office:smarttags" w:name="PlaceName"/>
  <w:smartTagType w:namespaceuri="urn:schemas-microsoft-com:office:smarttags" w:name="PlaceType"/>
  <w:smartTagType w:namespaceuri="urn:schemas-microsoft-com:office:smarttags" w:name="PersonName"/>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after="80"/>
      <w:jc w:val="both"/>
    </w:pPr>
    <w:rPr>
      <w:sz w:val="18"/>
    </w:rPr>
  </w:style>
  <w:style w:type="paragraph" w:styleId="Heading1">
    <w:name w:val="heading 1"/>
    <w:basedOn w:val="Normal"/>
    <w:next w:val="Normal"/>
    <w:qFormat/>
    <w:pPr>
      <w:keepNext/>
      <w:numPr>
        <w:numId w:val="1"/>
      </w:numPr>
      <w:spacing w:before="40" w:after="0"/>
      <w:jc w:val="left"/>
      <w:outlineLvl w:val="0"/>
    </w:pPr>
    <w:rPr>
      <w:b/>
      <w:kern w:val="28"/>
      <w:sz w:val="24"/>
    </w:rPr>
  </w:style>
  <w:style w:type="paragraph" w:styleId="Heading2">
    <w:name w:val="heading 2"/>
    <w:basedOn w:val="Heading1"/>
    <w:next w:val="Normal"/>
    <w:qFormat/>
    <w:pPr>
      <w:numPr>
        <w:ilvl w:val="1"/>
      </w:numPr>
      <w:outlineLvl w:val="1"/>
    </w:pPr>
  </w:style>
  <w:style w:type="paragraph" w:styleId="Heading3">
    <w:name w:val="heading 3"/>
    <w:basedOn w:val="Heading2"/>
    <w:next w:val="Normal"/>
    <w:qFormat/>
    <w:pPr>
      <w:numPr>
        <w:ilvl w:val="2"/>
      </w:numPr>
      <w:outlineLvl w:val="2"/>
    </w:pPr>
    <w:rPr>
      <w:b w:val="0"/>
      <w:i/>
      <w:sz w:val="22"/>
    </w:rPr>
  </w:style>
  <w:style w:type="paragraph" w:styleId="Heading4">
    <w:name w:val="heading 4"/>
    <w:basedOn w:val="Heading3"/>
    <w:next w:val="Normal"/>
    <w:qFormat/>
    <w:pPr>
      <w:numPr>
        <w:ilvl w:val="3"/>
      </w:numPr>
      <w:outlineLvl w:val="3"/>
    </w:pPr>
  </w:style>
  <w:style w:type="paragraph" w:styleId="Heading5">
    <w:name w:val="heading 5"/>
    <w:basedOn w:val="ListNumber3"/>
    <w:next w:val="Normal"/>
    <w:qFormat/>
    <w:pPr>
      <w:numPr>
        <w:ilvl w:val="4"/>
        <w:numId w:val="1"/>
      </w:numPr>
      <w:spacing w:before="40" w:after="0"/>
      <w:ind w:left="0" w:firstLine="0"/>
      <w:jc w:val="left"/>
      <w:outlineLvl w:val="4"/>
    </w:pPr>
    <w:rPr>
      <w:i/>
      <w:sz w:val="22"/>
    </w:rPr>
  </w:style>
  <w:style w:type="paragraph" w:styleId="Heading6">
    <w:name w:val="heading 6"/>
    <w:basedOn w:val="Normal"/>
    <w:next w:val="Normal"/>
    <w:qFormat/>
    <w:pPr>
      <w:numPr>
        <w:ilvl w:val="5"/>
        <w:numId w:val="1"/>
      </w:numPr>
      <w:spacing w:before="240" w:after="60"/>
      <w:outlineLvl w:val="5"/>
    </w:pPr>
    <w:rPr>
      <w:rFonts w:ascii="Arial" w:hAnsi="Arial"/>
      <w:i/>
      <w:sz w:val="22"/>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rFonts w:ascii="Times New Roman" w:hAnsi="Times New Roman"/>
      <w:sz w:val="18"/>
      <w:vertAlign w:val="superscript"/>
    </w:rPr>
  </w:style>
  <w:style w:type="paragraph" w:customStyle="1" w:styleId="Author">
    <w:name w:val="Author"/>
    <w:basedOn w:val="Normal"/>
    <w:pPr>
      <w:jc w:val="center"/>
    </w:pPr>
    <w:rPr>
      <w:rFonts w:ascii="Helvetica" w:hAnsi="Helvetica"/>
      <w:sz w:val="24"/>
    </w:rPr>
  </w:style>
  <w:style w:type="paragraph" w:customStyle="1" w:styleId="Paper-Title">
    <w:name w:val="Paper-Title"/>
    <w:basedOn w:val="Normal"/>
    <w:pPr>
      <w:spacing w:after="120"/>
      <w:jc w:val="center"/>
    </w:pPr>
    <w:rPr>
      <w:rFonts w:ascii="Helvetica" w:hAnsi="Helvetica"/>
      <w:b/>
      <w:sz w:val="36"/>
    </w:rPr>
  </w:style>
  <w:style w:type="paragraph" w:customStyle="1" w:styleId="Affiliations">
    <w:name w:val="Affiliations"/>
    <w:basedOn w:val="Normal"/>
    <w:rsid w:val="00F5619A"/>
    <w:pPr>
      <w:spacing w:after="0"/>
      <w:jc w:val="center"/>
    </w:pPr>
    <w:rPr>
      <w:rFonts w:ascii="Helvetica" w:hAnsi="Helvetica"/>
      <w:sz w:val="20"/>
    </w:rPr>
  </w:style>
  <w:style w:type="paragraph" w:styleId="FootnoteText">
    <w:name w:val="footnote text"/>
    <w:basedOn w:val="Normal"/>
    <w:semiHidden/>
    <w:pPr>
      <w:ind w:left="144" w:hanging="144"/>
    </w:pPr>
  </w:style>
  <w:style w:type="paragraph" w:customStyle="1" w:styleId="Bullet">
    <w:name w:val="Bullet"/>
    <w:basedOn w:val="Normal"/>
    <w:pPr>
      <w:ind w:left="144" w:hanging="144"/>
    </w:pPr>
  </w:style>
  <w:style w:type="paragraph" w:styleId="Footer">
    <w:name w:val="footer"/>
    <w:basedOn w:val="Normal"/>
    <w:pPr>
      <w:tabs>
        <w:tab w:val="center" w:pos="4320"/>
        <w:tab w:val="right" w:pos="8640"/>
      </w:tabs>
    </w:pPr>
  </w:style>
  <w:style w:type="paragraph" w:customStyle="1" w:styleId="E-Mail">
    <w:name w:val="E-Mail"/>
    <w:basedOn w:val="Author"/>
    <w:pPr>
      <w:spacing w:after="60"/>
    </w:pPr>
  </w:style>
  <w:style w:type="paragraph" w:customStyle="1" w:styleId="Abstract">
    <w:name w:val="Abstract"/>
    <w:basedOn w:val="Heading1"/>
    <w:pPr>
      <w:numPr>
        <w:numId w:val="0"/>
      </w:numPr>
      <w:spacing w:before="0" w:after="120"/>
      <w:jc w:val="both"/>
      <w:outlineLvl w:val="9"/>
    </w:pPr>
    <w:rPr>
      <w:b w:val="0"/>
      <w:sz w:val="18"/>
    </w:rPr>
  </w:style>
  <w:style w:type="paragraph" w:styleId="ListNumber3">
    <w:name w:val="List Number 3"/>
    <w:basedOn w:val="Normal"/>
    <w:pPr>
      <w:ind w:left="1080" w:hanging="360"/>
    </w:pPr>
  </w:style>
  <w:style w:type="paragraph" w:customStyle="1" w:styleId="Captions">
    <w:name w:val="Captions"/>
    <w:basedOn w:val="Normal"/>
    <w:pPr>
      <w:framePr w:w="4680" w:h="2160" w:hRule="exact" w:hSpace="187" w:wrap="around" w:hAnchor="text" w:yAlign="bottom" w:anchorLock="1"/>
      <w:jc w:val="center"/>
    </w:pPr>
    <w:rPr>
      <w:b/>
    </w:rPr>
  </w:style>
  <w:style w:type="paragraph" w:customStyle="1" w:styleId="References">
    <w:name w:val="References"/>
    <w:basedOn w:val="Normal"/>
    <w:pPr>
      <w:numPr>
        <w:numId w:val="2"/>
      </w:numPr>
      <w:jc w:val="left"/>
    </w:pPr>
  </w:style>
  <w:style w:type="character" w:styleId="PageNumber">
    <w:name w:val="page number"/>
    <w:basedOn w:val="DefaultParagraphFont"/>
  </w:style>
  <w:style w:type="paragraph" w:styleId="BodyTextIndent">
    <w:name w:val="Body Text Indent"/>
    <w:basedOn w:val="Normal"/>
    <w:pPr>
      <w:spacing w:after="0"/>
      <w:ind w:firstLine="360"/>
    </w:pPr>
  </w:style>
  <w:style w:type="paragraph" w:styleId="DocumentMap">
    <w:name w:val="Document Map"/>
    <w:basedOn w:val="Normal"/>
    <w:semiHidden/>
    <w:pPr>
      <w:shd w:val="clear" w:color="auto" w:fill="000080"/>
    </w:pPr>
    <w:rPr>
      <w:rFonts w:ascii="Tahoma" w:hAnsi="Tahoma" w:cs="Tahoma"/>
    </w:rPr>
  </w:style>
  <w:style w:type="paragraph" w:styleId="Caption">
    <w:name w:val="caption"/>
    <w:basedOn w:val="Normal"/>
    <w:next w:val="Normal"/>
    <w:qFormat/>
    <w:pPr>
      <w:jc w:val="center"/>
    </w:pPr>
    <w:rPr>
      <w:rFonts w:cs="Miriam"/>
      <w:b/>
      <w:bCs/>
      <w:szCs w:val="18"/>
      <w:lang w:eastAsia="en-AU"/>
    </w:rPr>
  </w:style>
  <w:style w:type="paragraph" w:styleId="BodyText">
    <w:name w:val="Body Text"/>
    <w:basedOn w:val="Normal"/>
    <w:pPr>
      <w:framePr w:w="4680" w:h="2112" w:hRule="exact" w:hSpace="187" w:wrap="around" w:vAnchor="page" w:hAnchor="page" w:x="1155" w:y="12245" w:anchorLock="1"/>
      <w:spacing w:after="0"/>
    </w:pPr>
    <w:rPr>
      <w:sz w:val="16"/>
    </w:rPr>
  </w:style>
  <w:style w:type="character" w:styleId="Hyperlink">
    <w:name w:val="Hyperlink"/>
    <w:rPr>
      <w:color w:val="0000FF"/>
      <w:u w:val="single"/>
    </w:rPr>
  </w:style>
  <w:style w:type="paragraph" w:styleId="Header">
    <w:name w:val="header"/>
    <w:basedOn w:val="Normal"/>
    <w:pPr>
      <w:tabs>
        <w:tab w:val="center" w:pos="4320"/>
        <w:tab w:val="right" w:pos="8640"/>
      </w:tabs>
    </w:pPr>
  </w:style>
  <w:style w:type="character" w:styleId="FollowedHyperlink">
    <w:name w:val="FollowedHyperlink"/>
    <w:rsid w:val="0062758A"/>
    <w:rPr>
      <w:color w:val="800080"/>
      <w:u w:val="single"/>
    </w:rPr>
  </w:style>
  <w:style w:type="character" w:styleId="Strong">
    <w:name w:val="Strong"/>
    <w:uiPriority w:val="22"/>
    <w:qFormat/>
    <w:rsid w:val="00B606DF"/>
    <w:rPr>
      <w:rFonts w:cs="Times New Roman"/>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after="80"/>
      <w:jc w:val="both"/>
    </w:pPr>
    <w:rPr>
      <w:sz w:val="18"/>
    </w:rPr>
  </w:style>
  <w:style w:type="paragraph" w:styleId="Heading1">
    <w:name w:val="heading 1"/>
    <w:basedOn w:val="Normal"/>
    <w:next w:val="Normal"/>
    <w:qFormat/>
    <w:pPr>
      <w:keepNext/>
      <w:numPr>
        <w:numId w:val="1"/>
      </w:numPr>
      <w:spacing w:before="40" w:after="0"/>
      <w:jc w:val="left"/>
      <w:outlineLvl w:val="0"/>
    </w:pPr>
    <w:rPr>
      <w:b/>
      <w:kern w:val="28"/>
      <w:sz w:val="24"/>
    </w:rPr>
  </w:style>
  <w:style w:type="paragraph" w:styleId="Heading2">
    <w:name w:val="heading 2"/>
    <w:basedOn w:val="Heading1"/>
    <w:next w:val="Normal"/>
    <w:qFormat/>
    <w:pPr>
      <w:numPr>
        <w:ilvl w:val="1"/>
      </w:numPr>
      <w:outlineLvl w:val="1"/>
    </w:pPr>
  </w:style>
  <w:style w:type="paragraph" w:styleId="Heading3">
    <w:name w:val="heading 3"/>
    <w:basedOn w:val="Heading2"/>
    <w:next w:val="Normal"/>
    <w:qFormat/>
    <w:pPr>
      <w:numPr>
        <w:ilvl w:val="2"/>
      </w:numPr>
      <w:outlineLvl w:val="2"/>
    </w:pPr>
    <w:rPr>
      <w:b w:val="0"/>
      <w:i/>
      <w:sz w:val="22"/>
    </w:rPr>
  </w:style>
  <w:style w:type="paragraph" w:styleId="Heading4">
    <w:name w:val="heading 4"/>
    <w:basedOn w:val="Heading3"/>
    <w:next w:val="Normal"/>
    <w:qFormat/>
    <w:pPr>
      <w:numPr>
        <w:ilvl w:val="3"/>
      </w:numPr>
      <w:outlineLvl w:val="3"/>
    </w:pPr>
  </w:style>
  <w:style w:type="paragraph" w:styleId="Heading5">
    <w:name w:val="heading 5"/>
    <w:basedOn w:val="ListNumber3"/>
    <w:next w:val="Normal"/>
    <w:qFormat/>
    <w:pPr>
      <w:numPr>
        <w:ilvl w:val="4"/>
        <w:numId w:val="1"/>
      </w:numPr>
      <w:spacing w:before="40" w:after="0"/>
      <w:ind w:left="0" w:firstLine="0"/>
      <w:jc w:val="left"/>
      <w:outlineLvl w:val="4"/>
    </w:pPr>
    <w:rPr>
      <w:i/>
      <w:sz w:val="22"/>
    </w:rPr>
  </w:style>
  <w:style w:type="paragraph" w:styleId="Heading6">
    <w:name w:val="heading 6"/>
    <w:basedOn w:val="Normal"/>
    <w:next w:val="Normal"/>
    <w:qFormat/>
    <w:pPr>
      <w:numPr>
        <w:ilvl w:val="5"/>
        <w:numId w:val="1"/>
      </w:numPr>
      <w:spacing w:before="240" w:after="60"/>
      <w:outlineLvl w:val="5"/>
    </w:pPr>
    <w:rPr>
      <w:rFonts w:ascii="Arial" w:hAnsi="Arial"/>
      <w:i/>
      <w:sz w:val="22"/>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rFonts w:ascii="Times New Roman" w:hAnsi="Times New Roman"/>
      <w:sz w:val="18"/>
      <w:vertAlign w:val="superscript"/>
    </w:rPr>
  </w:style>
  <w:style w:type="paragraph" w:customStyle="1" w:styleId="Author">
    <w:name w:val="Author"/>
    <w:basedOn w:val="Normal"/>
    <w:pPr>
      <w:jc w:val="center"/>
    </w:pPr>
    <w:rPr>
      <w:rFonts w:ascii="Helvetica" w:hAnsi="Helvetica"/>
      <w:sz w:val="24"/>
    </w:rPr>
  </w:style>
  <w:style w:type="paragraph" w:customStyle="1" w:styleId="Paper-Title">
    <w:name w:val="Paper-Title"/>
    <w:basedOn w:val="Normal"/>
    <w:pPr>
      <w:spacing w:after="120"/>
      <w:jc w:val="center"/>
    </w:pPr>
    <w:rPr>
      <w:rFonts w:ascii="Helvetica" w:hAnsi="Helvetica"/>
      <w:b/>
      <w:sz w:val="36"/>
    </w:rPr>
  </w:style>
  <w:style w:type="paragraph" w:customStyle="1" w:styleId="Affiliations">
    <w:name w:val="Affiliations"/>
    <w:basedOn w:val="Normal"/>
    <w:rsid w:val="00F5619A"/>
    <w:pPr>
      <w:spacing w:after="0"/>
      <w:jc w:val="center"/>
    </w:pPr>
    <w:rPr>
      <w:rFonts w:ascii="Helvetica" w:hAnsi="Helvetica"/>
      <w:sz w:val="20"/>
    </w:rPr>
  </w:style>
  <w:style w:type="paragraph" w:styleId="FootnoteText">
    <w:name w:val="footnote text"/>
    <w:basedOn w:val="Normal"/>
    <w:semiHidden/>
    <w:pPr>
      <w:ind w:left="144" w:hanging="144"/>
    </w:pPr>
  </w:style>
  <w:style w:type="paragraph" w:customStyle="1" w:styleId="Bullet">
    <w:name w:val="Bullet"/>
    <w:basedOn w:val="Normal"/>
    <w:pPr>
      <w:ind w:left="144" w:hanging="144"/>
    </w:pPr>
  </w:style>
  <w:style w:type="paragraph" w:styleId="Footer">
    <w:name w:val="footer"/>
    <w:basedOn w:val="Normal"/>
    <w:pPr>
      <w:tabs>
        <w:tab w:val="center" w:pos="4320"/>
        <w:tab w:val="right" w:pos="8640"/>
      </w:tabs>
    </w:pPr>
  </w:style>
  <w:style w:type="paragraph" w:customStyle="1" w:styleId="E-Mail">
    <w:name w:val="E-Mail"/>
    <w:basedOn w:val="Author"/>
    <w:pPr>
      <w:spacing w:after="60"/>
    </w:pPr>
  </w:style>
  <w:style w:type="paragraph" w:customStyle="1" w:styleId="Abstract">
    <w:name w:val="Abstract"/>
    <w:basedOn w:val="Heading1"/>
    <w:pPr>
      <w:numPr>
        <w:numId w:val="0"/>
      </w:numPr>
      <w:spacing w:before="0" w:after="120"/>
      <w:jc w:val="both"/>
      <w:outlineLvl w:val="9"/>
    </w:pPr>
    <w:rPr>
      <w:b w:val="0"/>
      <w:sz w:val="18"/>
    </w:rPr>
  </w:style>
  <w:style w:type="paragraph" w:styleId="ListNumber3">
    <w:name w:val="List Number 3"/>
    <w:basedOn w:val="Normal"/>
    <w:pPr>
      <w:ind w:left="1080" w:hanging="360"/>
    </w:pPr>
  </w:style>
  <w:style w:type="paragraph" w:customStyle="1" w:styleId="Captions">
    <w:name w:val="Captions"/>
    <w:basedOn w:val="Normal"/>
    <w:pPr>
      <w:framePr w:w="4680" w:h="2160" w:hRule="exact" w:hSpace="187" w:wrap="around" w:hAnchor="text" w:yAlign="bottom" w:anchorLock="1"/>
      <w:jc w:val="center"/>
    </w:pPr>
    <w:rPr>
      <w:b/>
    </w:rPr>
  </w:style>
  <w:style w:type="paragraph" w:customStyle="1" w:styleId="References">
    <w:name w:val="References"/>
    <w:basedOn w:val="Normal"/>
    <w:pPr>
      <w:numPr>
        <w:numId w:val="2"/>
      </w:numPr>
      <w:jc w:val="left"/>
    </w:pPr>
  </w:style>
  <w:style w:type="character" w:styleId="PageNumber">
    <w:name w:val="page number"/>
    <w:basedOn w:val="DefaultParagraphFont"/>
  </w:style>
  <w:style w:type="paragraph" w:styleId="BodyTextIndent">
    <w:name w:val="Body Text Indent"/>
    <w:basedOn w:val="Normal"/>
    <w:pPr>
      <w:spacing w:after="0"/>
      <w:ind w:firstLine="360"/>
    </w:pPr>
  </w:style>
  <w:style w:type="paragraph" w:styleId="DocumentMap">
    <w:name w:val="Document Map"/>
    <w:basedOn w:val="Normal"/>
    <w:semiHidden/>
    <w:pPr>
      <w:shd w:val="clear" w:color="auto" w:fill="000080"/>
    </w:pPr>
    <w:rPr>
      <w:rFonts w:ascii="Tahoma" w:hAnsi="Tahoma" w:cs="Tahoma"/>
    </w:rPr>
  </w:style>
  <w:style w:type="paragraph" w:styleId="Caption">
    <w:name w:val="caption"/>
    <w:basedOn w:val="Normal"/>
    <w:next w:val="Normal"/>
    <w:qFormat/>
    <w:pPr>
      <w:jc w:val="center"/>
    </w:pPr>
    <w:rPr>
      <w:rFonts w:cs="Miriam"/>
      <w:b/>
      <w:bCs/>
      <w:szCs w:val="18"/>
      <w:lang w:eastAsia="en-AU"/>
    </w:rPr>
  </w:style>
  <w:style w:type="paragraph" w:styleId="BodyText">
    <w:name w:val="Body Text"/>
    <w:basedOn w:val="Normal"/>
    <w:pPr>
      <w:framePr w:w="4680" w:h="2112" w:hRule="exact" w:hSpace="187" w:wrap="around" w:vAnchor="page" w:hAnchor="page" w:x="1155" w:y="12245" w:anchorLock="1"/>
      <w:spacing w:after="0"/>
    </w:pPr>
    <w:rPr>
      <w:sz w:val="16"/>
    </w:rPr>
  </w:style>
  <w:style w:type="character" w:styleId="Hyperlink">
    <w:name w:val="Hyperlink"/>
    <w:rPr>
      <w:color w:val="0000FF"/>
      <w:u w:val="single"/>
    </w:rPr>
  </w:style>
  <w:style w:type="paragraph" w:styleId="Header">
    <w:name w:val="header"/>
    <w:basedOn w:val="Normal"/>
    <w:pPr>
      <w:tabs>
        <w:tab w:val="center" w:pos="4320"/>
        <w:tab w:val="right" w:pos="8640"/>
      </w:tabs>
    </w:pPr>
  </w:style>
  <w:style w:type="character" w:styleId="FollowedHyperlink">
    <w:name w:val="FollowedHyperlink"/>
    <w:rsid w:val="0062758A"/>
    <w:rPr>
      <w:color w:val="800080"/>
      <w:u w:val="single"/>
    </w:rPr>
  </w:style>
  <w:style w:type="character" w:styleId="Strong">
    <w:name w:val="Strong"/>
    <w:uiPriority w:val="22"/>
    <w:qFormat/>
    <w:rsid w:val="00B606DF"/>
    <w:rPr>
      <w:rFonts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hyperlink" Target="http://doi.acm.org/10.1145/90417.90738"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dx.doi.org/10.1016/j.jss.2005.05.030" TargetMode="External"/><Relationship Id="rId2" Type="http://schemas.openxmlformats.org/officeDocument/2006/relationships/styles" Target="styles.xml"/><Relationship Id="rId16" Type="http://schemas.openxmlformats.org/officeDocument/2006/relationships/hyperlink" Target="http://doi.acm.org/10.1145/964696.964697"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library.caltech.edu/reference/abbreviations/" TargetMode="External"/><Relationship Id="rId5" Type="http://schemas.openxmlformats.org/officeDocument/2006/relationships/webSettings" Target="webSettings.xml"/><Relationship Id="rId15" Type="http://schemas.openxmlformats.org/officeDocument/2006/relationships/hyperlink" Target="http://doi.acm.org/10.1145/332040.332491" TargetMode="External"/><Relationship Id="rId10" Type="http://schemas.openxmlformats.org/officeDocument/2006/relationships/hyperlink" Target="http://www.acm.org/publications/article-templates/CCS-HOWTO-v6-12Jan2015.docx"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acm.org/about/class/class/2012" TargetMode="External"/><Relationship Id="rId14" Type="http://schemas.openxmlformats.org/officeDocument/2006/relationships/hyperlink" Target="http://doi.acm.org/10.1145/161468.16147" TargetMode="External"/><Relationship Id="rId2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1399</Words>
  <Characters>7975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Proceedings Template - WORD</vt:lpstr>
    </vt:vector>
  </TitlesOfParts>
  <Company>ACM</Company>
  <LinksUpToDate>false</LinksUpToDate>
  <CharactersWithSpaces>9356</CharactersWithSpaces>
  <SharedDoc>false</SharedDoc>
  <HLinks>
    <vt:vector size="48" baseType="variant">
      <vt:variant>
        <vt:i4>3473518</vt:i4>
      </vt:variant>
      <vt:variant>
        <vt:i4>24</vt:i4>
      </vt:variant>
      <vt:variant>
        <vt:i4>0</vt:i4>
      </vt:variant>
      <vt:variant>
        <vt:i4>5</vt:i4>
      </vt:variant>
      <vt:variant>
        <vt:lpwstr>http://doi.acm.org/10.1145/90417.90738</vt:lpwstr>
      </vt:variant>
      <vt:variant>
        <vt:lpwstr/>
      </vt:variant>
      <vt:variant>
        <vt:i4>3735607</vt:i4>
      </vt:variant>
      <vt:variant>
        <vt:i4>21</vt:i4>
      </vt:variant>
      <vt:variant>
        <vt:i4>0</vt:i4>
      </vt:variant>
      <vt:variant>
        <vt:i4>5</vt:i4>
      </vt:variant>
      <vt:variant>
        <vt:lpwstr>http://dx.doi.org/10.1016/j.jss.2005.05.030</vt:lpwstr>
      </vt:variant>
      <vt:variant>
        <vt:lpwstr/>
      </vt:variant>
      <vt:variant>
        <vt:i4>1310784</vt:i4>
      </vt:variant>
      <vt:variant>
        <vt:i4>18</vt:i4>
      </vt:variant>
      <vt:variant>
        <vt:i4>0</vt:i4>
      </vt:variant>
      <vt:variant>
        <vt:i4>5</vt:i4>
      </vt:variant>
      <vt:variant>
        <vt:lpwstr>http://doi.acm.org/10.1145/964696.964697</vt:lpwstr>
      </vt:variant>
      <vt:variant>
        <vt:lpwstr/>
      </vt:variant>
      <vt:variant>
        <vt:i4>1310793</vt:i4>
      </vt:variant>
      <vt:variant>
        <vt:i4>15</vt:i4>
      </vt:variant>
      <vt:variant>
        <vt:i4>0</vt:i4>
      </vt:variant>
      <vt:variant>
        <vt:i4>5</vt:i4>
      </vt:variant>
      <vt:variant>
        <vt:lpwstr>http://doi.acm.org/10.1145/332040.332491</vt:lpwstr>
      </vt:variant>
      <vt:variant>
        <vt:lpwstr/>
      </vt:variant>
      <vt:variant>
        <vt:i4>2293880</vt:i4>
      </vt:variant>
      <vt:variant>
        <vt:i4>12</vt:i4>
      </vt:variant>
      <vt:variant>
        <vt:i4>0</vt:i4>
      </vt:variant>
      <vt:variant>
        <vt:i4>5</vt:i4>
      </vt:variant>
      <vt:variant>
        <vt:lpwstr>http://doi.acm.org/10.1145/161468.16147</vt:lpwstr>
      </vt:variant>
      <vt:variant>
        <vt:lpwstr/>
      </vt:variant>
      <vt:variant>
        <vt:i4>2424948</vt:i4>
      </vt:variant>
      <vt:variant>
        <vt:i4>9</vt:i4>
      </vt:variant>
      <vt:variant>
        <vt:i4>0</vt:i4>
      </vt:variant>
      <vt:variant>
        <vt:i4>5</vt:i4>
      </vt:variant>
      <vt:variant>
        <vt:lpwstr>http://library.caltech.edu/reference/abbreviations/</vt:lpwstr>
      </vt:variant>
      <vt:variant>
        <vt:lpwstr/>
      </vt:variant>
      <vt:variant>
        <vt:i4>2097211</vt:i4>
      </vt:variant>
      <vt:variant>
        <vt:i4>3</vt:i4>
      </vt:variant>
      <vt:variant>
        <vt:i4>0</vt:i4>
      </vt:variant>
      <vt:variant>
        <vt:i4>5</vt:i4>
      </vt:variant>
      <vt:variant>
        <vt:lpwstr>CCS-HOWTO-v5-2Sep2014.docx</vt:lpwstr>
      </vt:variant>
      <vt:variant>
        <vt:lpwstr/>
      </vt:variant>
      <vt:variant>
        <vt:i4>5636168</vt:i4>
      </vt:variant>
      <vt:variant>
        <vt:i4>0</vt:i4>
      </vt:variant>
      <vt:variant>
        <vt:i4>0</vt:i4>
      </vt:variant>
      <vt:variant>
        <vt:i4>5</vt:i4>
      </vt:variant>
      <vt:variant>
        <vt:lpwstr>http://www.acm.org/about/class/class/2012</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Proceedings Template - WORD</dc:title>
  <dc:creator>End User Computing Services</dc:creator>
  <dc:description>\begin{CCSXML}
&lt;ccs2012&gt;
&lt;concept&gt;
&lt;concept_id&gt;10002951.10002952.10003190&lt;/concept_id&gt;
&lt;concept_desc&gt;Information systems~Database management system engines&lt;/concept_desc&gt;
&lt;concept_significance&gt;500&lt;/concept_significance&gt;
&lt;/concept&gt;
&lt;concept&gt;
&lt;concept_id&gt;10010147.10010341.10010349.10010362&lt;/concept_id&gt;
&lt;concept_desc&gt;Computing methodologies~Massively parallel and high-performance simulations&lt;/concept_desc&gt;
&lt;concept_significance&gt;500&lt;/concept_significance&gt;
&lt;/concept&gt;
&lt;concept&gt;
&lt;concept_id&gt;10003033.10003079&lt;/concept_id&gt;
&lt;concept_desc&gt;Networks~Network performance evaluation&lt;/concept_desc&gt;
&lt;concept_significance&gt;300&lt;/concept_significance&gt;
&lt;/concept&gt;
&lt;concept&gt;
&lt;concept_id&gt;10010520.10010575&lt;/concept_id&gt;
&lt;concept_desc&gt;Computer systems organization~Dependable and fault-tolerant systems and networks&lt;/concept_desc&gt;
&lt;concept_significance&gt;300&lt;/concept_significance&gt;
&lt;/concept&gt;
&lt;concept&gt;
&lt;concept_id&gt;10011007.10010940.10010971.10010980&lt;/concept_id&gt;
&lt;concept_desc&gt;Software and its engineering~Software system models&lt;/concept_desc&gt;
&lt;concept_significance&gt;300&lt;/concept_significance&gt;
&lt;/concept&gt;
&lt;concept&gt;
&lt;concept_id&gt;10011007.10011006.10011008.10011024.10011026&lt;/concept_id&gt;
&lt;concept_desc&gt;Software and its engineering~Inheritance&lt;/concept_desc&gt;
&lt;concept_significance&gt;300&lt;/concept_significance&gt;
&lt;/concept&gt;
&lt;concept&gt;
&lt;concept_id&gt;10002944.10011123.10011674&lt;/concept_id&gt;
&lt;concept_desc&gt;General and reference~Performance&lt;/concept_desc&gt;
&lt;concept_significance&gt;100&lt;/concept_significance&gt;
&lt;/concept&gt;
&lt;/ccs2012&gt;
\end{CCSXML}
\ccsdesc[500]{Information systems~Database management system engines}
\ccsdesc[500]{Computing methodologies~Massively parallel and high-performance simulations}
\ccsdesc[300]{Networks~Network performance evaluation}
\ccsdesc[300]{Computer systems organization~Dependable and fault-tolerant systems and networks}
\ccsdesc[300]{Software and its engineering~Software system models}
\ccsdesc[300]{Software and its engineering~Inheritance}
\ccsdesc[100]{General and reference~Performance}</dc:description>
  <cp:lastModifiedBy>Craig Rodkin</cp:lastModifiedBy>
  <cp:revision>2</cp:revision>
  <cp:lastPrinted>2011-01-13T15:51:00Z</cp:lastPrinted>
  <dcterms:created xsi:type="dcterms:W3CDTF">2015-08-07T14:17:00Z</dcterms:created>
  <dcterms:modified xsi:type="dcterms:W3CDTF">2015-08-07T14:17:00Z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Gerald Murray</vt:lpwstr>
  </property>
</Properties>
</file>