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C24541">
      <w:pPr>
        <w:pStyle w:val="Heading2"/>
      </w:pPr>
    </w:p>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proofErr w:type="spellStart"/>
      <w:r w:rsidR="000058D4" w:rsidRPr="00C24541">
        <w:rPr>
          <w:sz w:val="22"/>
          <w:szCs w:val="22"/>
        </w:rPr>
        <w:t>QSIprep</w:t>
      </w:r>
      <w:proofErr w:type="spellEnd"/>
      <w:r w:rsidR="000058D4" w:rsidRPr="00C24541">
        <w:rPr>
          <w:sz w:val="22"/>
          <w:szCs w:val="22"/>
        </w:rPr>
        <w:t xml:space="preserve"> </w:t>
      </w:r>
      <w:r>
        <w:rPr>
          <w:sz w:val="22"/>
          <w:szCs w:val="22"/>
        </w:rPr>
        <w:t xml:space="preserve">however, since you </w:t>
      </w:r>
      <w:r w:rsidR="000058D4" w:rsidRPr="00C24541">
        <w:rPr>
          <w:sz w:val="22"/>
          <w:szCs w:val="22"/>
        </w:rPr>
        <w:t xml:space="preserve">can </w:t>
      </w:r>
      <w:r w:rsidR="006B2F4F" w:rsidRPr="00C24541">
        <w:rPr>
          <w:sz w:val="22"/>
          <w:szCs w:val="22"/>
        </w:rPr>
        <w:t xml:space="preserve">complete </w:t>
      </w:r>
      <w:proofErr w:type="gramStart"/>
      <w:r w:rsidR="006B2F4F" w:rsidRPr="00C24541">
        <w:rPr>
          <w:sz w:val="22"/>
          <w:szCs w:val="22"/>
        </w:rPr>
        <w:t>all of</w:t>
      </w:r>
      <w:proofErr w:type="gramEnd"/>
      <w:r w:rsidR="006B2F4F" w:rsidRPr="00C24541">
        <w:rPr>
          <w:sz w:val="22"/>
          <w:szCs w:val="22"/>
        </w:rPr>
        <w:t xml:space="preserve">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proofErr w:type="spellStart"/>
      <w:r w:rsidR="006B2F4F" w:rsidRPr="00C24541">
        <w:rPr>
          <w:sz w:val="22"/>
          <w:szCs w:val="22"/>
        </w:rPr>
        <w:t>QSIprep</w:t>
      </w:r>
      <w:proofErr w:type="spellEnd"/>
      <w:r w:rsidR="006B2F4F" w:rsidRPr="00C24541">
        <w:rPr>
          <w:sz w:val="22"/>
          <w:szCs w:val="22"/>
        </w:rPr>
        <w:t xml:space="preserve">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w:t>
        </w:r>
        <w:r w:rsidRPr="00BD1A90">
          <w:rPr>
            <w:rStyle w:val="Hyperlink"/>
            <w:sz w:val="22"/>
            <w:szCs w:val="22"/>
          </w:rPr>
          <w:t>L</w:t>
        </w:r>
      </w:hyperlink>
      <w:r w:rsidRPr="00C24541">
        <w:rPr>
          <w:sz w:val="22"/>
          <w:szCs w:val="22"/>
        </w:rPr>
        <w:t xml:space="preserve"> or </w:t>
      </w:r>
      <w:hyperlink w:anchor="mrtrix" w:history="1">
        <w:r w:rsidRPr="00BD1A90">
          <w:rPr>
            <w:rStyle w:val="Hyperlink"/>
            <w:sz w:val="22"/>
            <w:szCs w:val="22"/>
          </w:rPr>
          <w:t>mrt</w:t>
        </w:r>
        <w:r w:rsidRPr="00BD1A90">
          <w:rPr>
            <w:rStyle w:val="Hyperlink"/>
            <w:sz w:val="22"/>
            <w:szCs w:val="22"/>
          </w:rPr>
          <w:t>r</w:t>
        </w:r>
        <w:r w:rsidRPr="00BD1A90">
          <w:rPr>
            <w:rStyle w:val="Hyperlink"/>
            <w:sz w:val="22"/>
            <w:szCs w:val="22"/>
          </w:rPr>
          <w:t>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proofErr w:type="gram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proofErr w:type="gramEnd"/>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w:t>
      </w:r>
      <w:proofErr w:type="gramStart"/>
      <w:r w:rsidRPr="000B77E6">
        <w:rPr>
          <w:rFonts w:asciiTheme="minorHAnsi" w:hAnsiTheme="minorHAnsi" w:cstheme="minorHAnsi"/>
          <w:color w:val="7030A0"/>
          <w:sz w:val="22"/>
          <w:szCs w:val="22"/>
        </w:rPr>
        <w:t>dwi</w:t>
      </w:r>
      <w:r>
        <w:rPr>
          <w:rFonts w:asciiTheme="minorHAnsi" w:hAnsiTheme="minorHAnsi" w:cstheme="minorHAnsi"/>
          <w:color w:val="7030A0"/>
          <w:sz w:val="22"/>
          <w:szCs w:val="22"/>
        </w:rPr>
        <w:t>.bvec</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t>Image QC</w:t>
      </w:r>
      <w:bookmarkEnd w:id="8"/>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w:t>
      </w:r>
      <w:r w:rsidRPr="00B27E32">
        <w:rPr>
          <w:sz w:val="22"/>
          <w:szCs w:val="22"/>
        </w:rPr>
        <w:lastRenderedPageBreak/>
        <w:t xml:space="preserve">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46EB8">
      <w:pPr>
        <w:pStyle w:val="Heading2"/>
      </w:pPr>
    </w:p>
    <w:p w14:paraId="30C3DDF4" w14:textId="3F349C19" w:rsidR="000058D4" w:rsidRDefault="000058D4" w:rsidP="00C24541">
      <w:pPr>
        <w:pStyle w:val="Heading2"/>
      </w:pPr>
      <w:bookmarkStart w:id="9" w:name="_Toc135669421"/>
      <w:r>
        <w:t>TBSS</w:t>
      </w:r>
      <w:bookmarkEnd w:id="9"/>
      <w:r w:rsidR="004239BB">
        <w:t xml:space="preserve"> </w:t>
      </w:r>
    </w:p>
    <w:p w14:paraId="18D756B3" w14:textId="1A478BC3"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proofErr w:type="gramStart"/>
      <w:r w:rsidRPr="000B77E6">
        <w:rPr>
          <w:color w:val="000000" w:themeColor="text1"/>
          <w:sz w:val="22"/>
          <w:szCs w:val="22"/>
        </w:rPr>
        <w:t>https://www.python.org/downloads/</w:t>
      </w:r>
      <w:proofErr w:type="gramEnd"/>
      <w:r w:rsidRPr="000B77E6">
        <w:rPr>
          <w:color w:val="000000" w:themeColor="text1"/>
          <w:sz w:val="22"/>
          <w:szCs w:val="22"/>
        </w:rPr>
        <w:t xml:space="preserve">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lastRenderedPageBreak/>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lastRenderedPageBreak/>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lastRenderedPageBreak/>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lastRenderedPageBreak/>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E61CD"/>
    <w:rsid w:val="004004B4"/>
    <w:rsid w:val="004239BB"/>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2</cp:revision>
  <dcterms:created xsi:type="dcterms:W3CDTF">2023-06-26T12:21:00Z</dcterms:created>
  <dcterms:modified xsi:type="dcterms:W3CDTF">2023-06-26T12:21:00Z</dcterms:modified>
</cp:coreProperties>
</file>