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3050" cy="6372679"/>
            <wp:effectExtent b="0" l="0" r="0" t="0"/>
            <wp:wrapSquare wrapText="bothSides" distB="114300" distT="114300" distL="114300" distR="114300"/>
            <wp:docPr descr="This Grecian urn depicts a variety of figures both in combat and in everyday activities. There are two rows of figures. On the top row, a figure bows before a reclining figure. A chariot hovers overhead. On the bottom row, standing women and men are engaged in more domestic work. " id="1" name="image2.jpg"/>
            <a:graphic>
              <a:graphicData uri="http://schemas.openxmlformats.org/drawingml/2006/picture">
                <pic:pic>
                  <pic:nvPicPr>
                    <pic:cNvPr descr="This Grecian urn depicts a variety of figures both in combat and in everyday activities. There are two rows of figures. On the top row, a figure bows before a reclining figure. A chariot hovers overhead. On the bottom row, standing women and men are engaged in more domestic work. 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72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Red-Figured Water Jar (Hydria), Signed by Meidias as Potter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© The Trustees of the British Museum</w:t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hd w:fill="ffffff" w:val="clear"/>
        <w:spacing w:line="240" w:lineRule="auto"/>
        <w:ind w:left="300"/>
        <w:rPr/>
      </w:pPr>
      <w:bookmarkStart w:colFirst="0" w:colLast="0" w:name="_y37t0aq2iymt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 Keats: “Ode on a Grecian Urn,” as read by Matthew Coulton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spacing w:line="240" w:lineRule="auto"/>
        <w:ind w:left="300"/>
        <w:rPr/>
      </w:pPr>
      <w:bookmarkStart w:colFirst="0" w:colLast="0" w:name="_2lcq4fm0timn" w:id="1"/>
      <w:bookmarkEnd w:id="1"/>
      <w:r w:rsidDel="00000000" w:rsidR="00000000" w:rsidRPr="00000000">
        <w:rPr>
          <w:rtl w:val="0"/>
        </w:rPr>
        <w:t xml:space="preserve">Ode on a Grecian Urn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John Keats - 1795-1821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Thou still unravish'd bride of quietness,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Thou foster-child of silence and slow time,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Sylvan historian, who canst thus express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A flowery tale more sweetly than our rhyme: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leaf-fring'd legend haunts about thy shape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Of deities or mortals, or of both,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In Tempe or the dales of Arcady?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What men or gods are these? What maidens loth?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mad pursuit? What struggle to escape?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What pipes and timbrels? What wild ecstasy?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Heard melodies are sweet, but those unheard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Are sweeter; therefore, ye soft pipes, play on;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to the sensual ear, but, more endear'd,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Pipe to the spirit ditties of no tone: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Fair youth, beneath the trees, thou canst not leave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Thy song, nor ever can those trees be bare;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Bold Lover, never, never canst thou kiss,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Though winning near the goal yet, do not grieve;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She cannot fade, though thou hast not thy bliss,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For ever wilt thou love, and she be fair!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Ah, happy, happy boughs! that cannot shed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Your leaves, nor ever bid the Spring adieu;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And, happy melodist, unwearied,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 ever piping songs for ever new;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happy love! more happy, happy love!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For ever warm and still to be enjoy'd,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For ever panting, and for ever young;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breathing human passion far above,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That leaves a heart high-sorrowful and cloy'd,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A burning forehead, and a parching tongue.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are these coming to the sacrifice?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 what green altar, O mysterious priest,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Lead'st thou that heifer lowing at the skies,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And all her silken flanks with garlands drest?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little town by river or sea shore,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Or mountain-built with peaceful citadel,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Is emptied of this folk, this pious morn?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And, little town, thy streets for evermore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Will silent be; and not a soul to tell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Why thou art desolate, can e'er return.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Attic shape! Fair attitude! with brede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Of marble men and maidens overwrought,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forest branches and the trodden weed;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Thou, silent form, dost tease us out of thought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doth eternity: Cold Pastoral!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When old age shall this generation waste,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Thou shalt remain, in midst of other woe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 ours, a friend to man, to whom thou say'st,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"Beauty is truth, truth beauty,—that is all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ind w:left="3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Ye know on earth, and all ye need to know."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40" w:lineRule="auto"/>
        <w:rPr/>
      </w:pPr>
      <w:bookmarkStart w:colFirst="0" w:colLast="0" w:name="_588jvzm74uy8" w:id="2"/>
      <w:bookmarkEnd w:id="2"/>
      <w:r w:rsidDel="00000000" w:rsidR="00000000" w:rsidRPr="00000000">
        <w:rPr>
          <w:rtl w:val="0"/>
        </w:rPr>
        <w:t xml:space="preserve">Further Information about the Artwork: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Production 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420BC-400BC (circa)</w:t>
      </w:r>
    </w:p>
    <w:p w:rsidR="00000000" w:rsidDel="00000000" w:rsidP="00000000" w:rsidRDefault="00000000" w:rsidRPr="00000000" w14:paraId="0000005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Made 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Attica (Greece)</w:t>
      </w:r>
    </w:p>
    <w:p w:rsidR="00000000" w:rsidDel="00000000" w:rsidP="00000000" w:rsidRDefault="00000000" w:rsidRPr="00000000" w14:paraId="0000005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Acquisition 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1772</w:t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Medium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Pottery</w:t>
      </w:r>
    </w:p>
    <w:p w:rsidR="00000000" w:rsidDel="00000000" w:rsidP="00000000" w:rsidRDefault="00000000" w:rsidRPr="00000000" w14:paraId="0000006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Location: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British Museum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52.10 cm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8200" cy="295275"/>
            <wp:effectExtent b="0" l="0" r="0" t="0"/>
            <wp:docPr descr="Creative Commons License" id="2" name="image1.png"/>
            <a:graphic>
              <a:graphicData uri="http://schemas.openxmlformats.org/drawingml/2006/picture">
                <pic:pic>
                  <pic:nvPicPr>
                    <pic:cNvPr descr="Creative Commons Licens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This work is licensed under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49ccf"/>
            <w:sz w:val="28"/>
            <w:szCs w:val="28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creativecommons.org/licenses/by/4.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youtu.be/iHkX67Ijuo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