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F70">
      <w:pPr>
        <w:spacing w:line="300" w:lineRule="auto"/>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附录一、研究报告格式(中文)</w:t>
      </w:r>
    </w:p>
    <w:p w14:paraId="35DC7F71">
      <w:pPr>
        <w:spacing w:line="300" w:lineRule="auto"/>
        <w:ind w:firstLine="480"/>
        <w:rPr>
          <w:rFonts w:ascii="Times New Roman" w:hAnsi="Times New Roman" w:eastAsia="宋体" w:cs="Times New Roman"/>
          <w:sz w:val="24"/>
          <w:szCs w:val="24"/>
          <w14:ligatures w14:val="none"/>
        </w:rPr>
      </w:pPr>
    </w:p>
    <w:p w14:paraId="35DC7F72">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w:t>
      </w:r>
      <w:r>
        <w:rPr>
          <w:rFonts w:hint="eastAsia" w:ascii="Times New Roman" w:hAnsi="Times New Roman" w:eastAsia="黑体" w:cs="Times New Roman"/>
          <w:b/>
          <w:bCs/>
          <w:i/>
          <w:iCs/>
          <w:sz w:val="32"/>
          <w:szCs w:val="32"/>
          <w14:ligatures w14:val="none"/>
        </w:rPr>
        <w:t>Rodriguez(</w:t>
      </w:r>
      <w:r>
        <w:rPr>
          <w:rFonts w:hint="eastAsia" w:ascii="Times New Roman" w:hAnsi="Times New Roman" w:eastAsia="黑体" w:cs="Times New Roman"/>
          <w:b/>
          <w:bCs/>
          <w:i/>
          <w:iCs/>
          <w:sz w:val="32"/>
          <w:szCs w:val="32"/>
          <w:lang w:val="en-US" w:eastAsia="zh-CN"/>
          <w14:ligatures w14:val="none"/>
        </w:rPr>
        <w:t>2025</w:t>
      </w:r>
      <w:r>
        <w:rPr>
          <w:rFonts w:hint="eastAsia" w:ascii="Times New Roman" w:hAnsi="Times New Roman" w:eastAsia="黑体" w:cs="Times New Roman"/>
          <w:b/>
          <w:bCs/>
          <w:i/>
          <w:iCs/>
          <w:sz w:val="32"/>
          <w:szCs w:val="32"/>
          <w14:ligatures w14:val="none"/>
        </w:rPr>
        <w:t>)</w:t>
      </w:r>
      <w:r>
        <w:rPr>
          <w:rFonts w:hint="eastAsia" w:ascii="Times New Roman" w:hAnsi="Times New Roman" w:eastAsia="黑体" w:cs="Times New Roman"/>
          <w:b/>
          <w:bCs/>
          <w:sz w:val="32"/>
          <w:szCs w:val="32"/>
          <w14:ligatures w14:val="none"/>
        </w:rPr>
        <w:t>研究结果的计算可复现性检验</w:t>
      </w:r>
    </w:p>
    <w:p w14:paraId="35DC7F73">
      <w:pPr>
        <w:spacing w:line="300" w:lineRule="auto"/>
        <w:jc w:val="center"/>
        <w:rPr>
          <w:rFonts w:ascii="Times New Roman" w:hAnsi="Times New Roman" w:eastAsia="宋体" w:cs="Times New Roman"/>
          <w:sz w:val="28"/>
          <w:szCs w:val="28"/>
          <w14:ligatures w14:val="none"/>
        </w:rPr>
      </w:pPr>
      <w:r>
        <w:rPr>
          <w:rFonts w:hint="eastAsia" w:ascii="Times New Roman" w:hAnsi="Times New Roman" w:eastAsia="宋体" w:cs="Times New Roman"/>
          <w:sz w:val="28"/>
          <w:szCs w:val="28"/>
          <w14:ligatures w14:val="none"/>
        </w:rPr>
        <w:t>小组成员分工</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4">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组长</w:t>
            </w:r>
          </w:p>
        </w:tc>
        <w:tc>
          <w:tcPr>
            <w:tcW w:w="6222" w:type="dxa"/>
            <w:gridSpan w:val="3"/>
          </w:tcPr>
          <w:p w14:paraId="35DC7F75">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p>
        </w:tc>
      </w:tr>
      <w:tr w14:paraId="35DC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7">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组员</w:t>
            </w:r>
          </w:p>
        </w:tc>
        <w:tc>
          <w:tcPr>
            <w:tcW w:w="6222" w:type="dxa"/>
            <w:gridSpan w:val="3"/>
          </w:tcPr>
          <w:p w14:paraId="35DC7F78">
            <w:pPr>
              <w:keepNext w:val="0"/>
              <w:keepLines w:val="0"/>
              <w:suppressLineNumbers w:val="0"/>
              <w:spacing w:before="0" w:beforeAutospacing="0" w:after="0" w:afterAutospacing="0" w:line="300" w:lineRule="auto"/>
              <w:ind w:left="0" w:right="0"/>
              <w:rPr>
                <w:rFonts w:hint="default" w:ascii="宋体" w:hAnsi="宋体" w:eastAsia="宋体" w:cs="Times New Roman"/>
                <w:szCs w:val="24"/>
                <w:lang w:val="en-US" w:eastAsia="zh-CN"/>
                <w14:ligatures w14:val="none"/>
              </w:rPr>
            </w:pPr>
            <w:r>
              <w:rPr>
                <w:rFonts w:hint="eastAsia" w:ascii="宋体" w:hAnsi="宋体" w:eastAsia="宋体" w:cs="Times New Roman"/>
                <w:szCs w:val="24"/>
                <w:lang w:val="en-US" w:eastAsia="zh-CN"/>
                <w14:ligatures w14:val="none"/>
              </w:rPr>
              <w:t>蔡振辛、祁子陽、赵智康、张华宇</w:t>
            </w:r>
          </w:p>
        </w:tc>
      </w:tr>
      <w:tr w14:paraId="35DC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7A">
            <w:pPr>
              <w:keepNext w:val="0"/>
              <w:keepLines w:val="0"/>
              <w:suppressLineNumbers w:val="0"/>
              <w:spacing w:before="0" w:beforeAutospacing="0" w:after="0" w:afterAutospacing="0" w:line="300" w:lineRule="auto"/>
              <w:ind w:left="0" w:right="0"/>
              <w:jc w:val="center"/>
              <w:rPr>
                <w:rFonts w:hint="default" w:ascii="宋体" w:hAnsi="宋体" w:eastAsia="宋体" w:cs="Times New Roman"/>
                <w:szCs w:val="24"/>
                <w14:ligatures w14:val="none"/>
              </w:rPr>
            </w:pPr>
            <w:r>
              <w:rPr>
                <w:rFonts w:hint="default" w:ascii="宋体" w:hAnsi="宋体" w:eastAsia="宋体" w:cs="Times New Roman"/>
                <w:szCs w:val="24"/>
                <w14:ligatures w14:val="none"/>
              </w:rPr>
              <w:t>分工</w:t>
            </w:r>
          </w:p>
        </w:tc>
      </w:tr>
      <w:tr w14:paraId="35DC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C">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数据分析</w:t>
            </w:r>
          </w:p>
        </w:tc>
        <w:tc>
          <w:tcPr>
            <w:tcW w:w="2074" w:type="dxa"/>
          </w:tcPr>
          <w:p w14:paraId="35DC7F7D">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蔡振辛、祁子陽、赵智康、张华宇</w:t>
            </w:r>
          </w:p>
        </w:tc>
        <w:tc>
          <w:tcPr>
            <w:tcW w:w="2074" w:type="dxa"/>
          </w:tcPr>
          <w:p w14:paraId="35DC7F7E">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Times New Roman" w:hAnsi="Times New Roman" w:eastAsia="宋体" w:cs="Times New Roman"/>
                <w:szCs w:val="24"/>
                <w14:ligatures w14:val="none"/>
              </w:rPr>
              <w:t xml:space="preserve">PPT </w:t>
            </w:r>
            <w:r>
              <w:rPr>
                <w:rFonts w:hint="default" w:ascii="宋体" w:hAnsi="宋体" w:eastAsia="宋体" w:cs="Times New Roman"/>
                <w:szCs w:val="24"/>
                <w14:ligatures w14:val="none"/>
              </w:rPr>
              <w:t>制作</w:t>
            </w:r>
          </w:p>
        </w:tc>
        <w:tc>
          <w:tcPr>
            <w:tcW w:w="2074" w:type="dxa"/>
          </w:tcPr>
          <w:p w14:paraId="35DC7F7F">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蔡振辛、祁子陽、赵智康、张华宇</w:t>
            </w:r>
          </w:p>
        </w:tc>
      </w:tr>
      <w:tr w14:paraId="35DC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81">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文字报告制作</w:t>
            </w:r>
          </w:p>
        </w:tc>
        <w:tc>
          <w:tcPr>
            <w:tcW w:w="2074" w:type="dxa"/>
          </w:tcPr>
          <w:p w14:paraId="35DC7F82">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p>
        </w:tc>
        <w:tc>
          <w:tcPr>
            <w:tcW w:w="2074" w:type="dxa"/>
          </w:tcPr>
          <w:p w14:paraId="35DC7F83">
            <w:pPr>
              <w:keepNext w:val="0"/>
              <w:keepLines w:val="0"/>
              <w:suppressLineNumbers w:val="0"/>
              <w:spacing w:before="0" w:beforeAutospacing="0" w:after="0" w:afterAutospacing="0" w:line="300" w:lineRule="auto"/>
              <w:ind w:left="0" w:right="0"/>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PPT 展示</w:t>
            </w:r>
          </w:p>
        </w:tc>
        <w:tc>
          <w:tcPr>
            <w:tcW w:w="2074" w:type="dxa"/>
          </w:tcPr>
          <w:p w14:paraId="35DC7F84">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p>
        </w:tc>
      </w:tr>
    </w:tbl>
    <w:p w14:paraId="35DC7F86">
      <w:pPr>
        <w:spacing w:line="300" w:lineRule="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同一名同学可负责多个部分；如同一内容由多位同学负责，可按百分比注明贡献占比</w:t>
      </w:r>
    </w:p>
    <w:p w14:paraId="35DC7F87">
      <w:pPr>
        <w:spacing w:line="300" w:lineRule="auto"/>
        <w:ind w:firstLine="360"/>
        <w:rPr>
          <w:rFonts w:ascii="Times New Roman" w:hAnsi="Times New Roman" w:eastAsia="宋体" w:cs="Times New Roman"/>
          <w:sz w:val="18"/>
          <w:szCs w:val="18"/>
          <w14:ligatures w14:val="none"/>
        </w:rPr>
      </w:pPr>
    </w:p>
    <w:p w14:paraId="35DC7F88">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：200 ～ 400字，包括背景、方法、结果与讨论/结论几个关键部分</w:t>
      </w:r>
    </w:p>
    <w:p w14:paraId="35DC7F89">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：三到五个关键词，需要包括“计算可复现性”</w:t>
      </w:r>
    </w:p>
    <w:p w14:paraId="35DC7F8A">
      <w:pPr>
        <w:spacing w:line="300" w:lineRule="auto"/>
        <w:ind w:firstLine="562"/>
        <w:rPr>
          <w:rFonts w:ascii="Times New Roman" w:hAnsi="Times New Roman" w:eastAsia="宋体" w:cs="Times New Roman"/>
          <w:b/>
          <w:bCs/>
          <w:sz w:val="28"/>
          <w:szCs w:val="28"/>
          <w14:ligatures w14:val="none"/>
        </w:rPr>
      </w:pP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所选文献</w:t>
            </w:r>
          </w:p>
        </w:tc>
        <w:tc>
          <w:tcPr>
            <w:tcW w:w="6222" w:type="dxa"/>
            <w:gridSpan w:val="3"/>
          </w:tcPr>
          <w:p w14:paraId="35DC7F91">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Rodriguez, M., Schertz, K. E., &amp; Kross, E. (2025). How people think about being alone shapes their experience of loneliness. Nature Communications, 16(1), 1594.</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数据来源</w:t>
            </w:r>
          </w:p>
        </w:tc>
        <w:tc>
          <w:tcPr>
            <w:tcW w:w="6222" w:type="dxa"/>
            <w:gridSpan w:val="3"/>
          </w:tcPr>
          <w:p w14:paraId="35DC7F94">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rPr>
              <w:t>https://doi.org/10.17605/OSF.IO/6GX8R</w:t>
            </w:r>
            <w:r>
              <w:rPr>
                <w:rFonts w:hint="eastAsia" w:ascii="Times New Roman" w:hAnsi="Times New Roman" w:eastAsia="宋体" w:cs="Times New Roman"/>
                <w:sz w:val="18"/>
                <w:szCs w:val="18"/>
                <w:lang w:eastAsia="zh-CN"/>
              </w:rPr>
              <w:t>（</w:t>
            </w:r>
            <w:r>
              <w:rPr>
                <w:rFonts w:hint="eastAsia" w:ascii="Times New Roman" w:hAnsi="Times New Roman" w:eastAsia="宋体" w:cs="Times New Roman"/>
                <w:sz w:val="18"/>
                <w:szCs w:val="18"/>
                <w:lang w:val="en-US" w:eastAsia="zh-CN"/>
              </w:rPr>
              <w:t>文章收集的数据</w:t>
            </w:r>
            <w:r>
              <w:rPr>
                <w:rFonts w:hint="eastAsia" w:ascii="Times New Roman" w:hAnsi="Times New Roman" w:eastAsia="宋体" w:cs="Times New Roman"/>
                <w:sz w:val="18"/>
                <w:szCs w:val="18"/>
                <w:lang w:eastAsia="zh-CN"/>
              </w:rPr>
              <w:t>）</w:t>
            </w:r>
          </w:p>
          <w:p w14:paraId="2EDE7C43">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https://www.cos.io/gfs（Global Flourishing Study</w:t>
            </w:r>
            <w:r>
              <w:rPr>
                <w:rFonts w:hint="eastAsia" w:ascii="Times New Roman" w:hAnsi="Times New Roman" w:eastAsia="宋体" w:cs="Times New Roman"/>
                <w:sz w:val="18"/>
                <w:szCs w:val="18"/>
                <w:lang w:val="en-US" w:eastAsia="zh-CN"/>
              </w:rPr>
              <w:t>,</w:t>
            </w:r>
            <w:r>
              <w:rPr>
                <w:rFonts w:hint="eastAsia" w:ascii="Times New Roman" w:hAnsi="Times New Roman" w:eastAsia="宋体" w:cs="Times New Roman"/>
                <w:sz w:val="18"/>
                <w:szCs w:val="18"/>
                <w:lang w:eastAsia="zh-CN"/>
              </w:rPr>
              <w:t>Wave 1, released in 2024</w:t>
            </w:r>
            <w:r>
              <w:rPr>
                <w:rFonts w:hint="eastAsia" w:ascii="Times New Roman" w:hAnsi="Times New Roman" w:eastAsia="宋体" w:cs="Times New Roman"/>
                <w:sz w:val="18"/>
                <w:szCs w:val="18"/>
                <w:lang w:val="en-US" w:eastAsia="zh-CN"/>
              </w:rPr>
              <w:t>需要预注册</w:t>
            </w:r>
            <w:r>
              <w:rPr>
                <w:rFonts w:hint="eastAsia" w:ascii="Times New Roman" w:hAnsi="Times New Roman" w:eastAsia="宋体" w:cs="Times New Roman"/>
                <w:sz w:val="18"/>
                <w:szCs w:val="18"/>
                <w:lang w:eastAsia="zh-CN"/>
              </w:rPr>
              <w:t>）</w:t>
            </w:r>
          </w:p>
          <w:p w14:paraId="5ADBD2C8">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https://doi.org/10.17605/OSF.IO/6GX8R.（</w:t>
            </w:r>
            <w:r>
              <w:rPr>
                <w:rFonts w:hint="eastAsia" w:ascii="Times New Roman" w:hAnsi="Times New Roman" w:eastAsia="宋体" w:cs="Times New Roman"/>
                <w:sz w:val="18"/>
                <w:szCs w:val="18"/>
                <w:lang w:val="en-US" w:eastAsia="zh-CN"/>
              </w:rPr>
              <w:t>Code</w:t>
            </w:r>
            <w:r>
              <w:rPr>
                <w:rFonts w:hint="eastAsia" w:ascii="Times New Roman" w:hAnsi="Times New Roman" w:eastAsia="宋体" w:cs="Times New Roman"/>
                <w:sz w:val="18"/>
                <w:szCs w:val="18"/>
                <w:lang w:eastAsia="zh-CN"/>
              </w:rPr>
              <w:t>）</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F99">
            <w:pPr>
              <w:pStyle w:val="11"/>
              <w:keepNext w:val="0"/>
              <w:keepLines w:val="0"/>
              <w:numPr>
                <w:ilvl w:val="0"/>
                <w:numId w:val="0"/>
              </w:numPr>
              <w:suppressLineNumbers w:val="0"/>
              <w:spacing w:before="0" w:beforeAutospacing="0" w:after="0" w:afterAutospacing="0" w:line="360" w:lineRule="auto"/>
              <w:ind w:left="0" w:leftChars="0" w:right="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hint="default" w:ascii="Times New Roman" w:hAnsi="Times New Roman" w:eastAsia="宋体" w:cs="Times New Roman"/>
                <w:sz w:val="13"/>
                <w:szCs w:val="13"/>
              </w:rPr>
              <w:t>包含元分析研究</w:t>
            </w:r>
          </w:p>
          <w:p w14:paraId="35DC7F9A">
            <w:pPr>
              <w:pStyle w:val="11"/>
              <w:keepNext w:val="0"/>
              <w:keepLines w:val="0"/>
              <w:numPr>
                <w:ilvl w:val="0"/>
                <w:numId w:val="0"/>
              </w:numPr>
              <w:suppressLineNumbers w:val="0"/>
              <w:spacing w:before="0" w:beforeAutospacing="0" w:after="0" w:afterAutospacing="0" w:line="360" w:lineRule="auto"/>
              <w:ind w:left="0" w:leftChars="0" w:right="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hint="default" w:ascii="Times New Roman" w:hAnsi="Times New Roman" w:eastAsia="宋体" w:cs="Times New Roman"/>
                <w:sz w:val="13"/>
                <w:szCs w:val="13"/>
              </w:rPr>
              <w:t>不包含元分析研究</w:t>
            </w:r>
          </w:p>
          <w:p w14:paraId="35DC7F9B">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c>
          <w:tcPr>
            <w:tcW w:w="2074" w:type="dxa"/>
          </w:tcPr>
          <w:p w14:paraId="35DC7F9C">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F9D">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 xml:space="preserve">是(附上原文链接) </w:t>
            </w:r>
          </w:p>
          <w:p w14:paraId="35DC7F9E">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FA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(指出检验了原文献哪部分的哪些假设结果，如研究一、研究二/ 行为数据、电生理数据/ A任务、B任务等)</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FA6">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default" w:ascii="Times New Roman" w:hAnsi="Times New Roman" w:eastAsia="宋体" w:cs="Times New Roman"/>
                <w:sz w:val="13"/>
                <w:szCs w:val="13"/>
              </w:rPr>
              <w:t xml:space="preserve">是(附上原文链接) </w:t>
            </w:r>
          </w:p>
          <w:p w14:paraId="35DC7FA7">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c>
          <w:tcPr>
            <w:tcW w:w="2074" w:type="dxa"/>
          </w:tcPr>
          <w:p w14:paraId="35DC7FA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FA9">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文献共5个研究</w:t>
            </w:r>
          </w:p>
          <w:p w14:paraId="7EDE593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重复了前四个</w:t>
            </w: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FAC">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rPr>
              <w:t>按照指南推荐的优先顺序，</w:t>
            </w:r>
            <w:r>
              <w:rPr>
                <w:rFonts w:hint="eastAsia" w:ascii="Times New Roman" w:hAnsi="Times New Roman" w:eastAsia="宋体" w:cs="Times New Roman"/>
                <w:sz w:val="18"/>
                <w:szCs w:val="18"/>
                <w:lang w:val="en-US" w:eastAsia="zh-CN"/>
              </w:rPr>
              <w:t>我们小组重复了前四个研究，第五个研究无法完全复现的原因是，</w:t>
            </w:r>
            <w:r>
              <w:rPr>
                <w:rFonts w:hint="eastAsia" w:ascii="Times New Roman" w:hAnsi="Times New Roman" w:eastAsia="宋体" w:cs="Times New Roman"/>
                <w:sz w:val="18"/>
                <w:szCs w:val="18"/>
                <w:lang w:eastAsia="zh-CN"/>
              </w:rPr>
              <w:t>Global Flourishing Study</w:t>
            </w:r>
            <w:r>
              <w:rPr>
                <w:rFonts w:hint="eastAsia" w:ascii="Times New Roman" w:hAnsi="Times New Roman" w:eastAsia="宋体" w:cs="Times New Roman"/>
                <w:sz w:val="18"/>
                <w:szCs w:val="18"/>
                <w:lang w:val="en-US" w:eastAsia="zh-CN"/>
              </w:rPr>
              <w:t>,</w:t>
            </w:r>
            <w:r>
              <w:rPr>
                <w:rFonts w:hint="eastAsia" w:ascii="Times New Roman" w:hAnsi="Times New Roman" w:eastAsia="宋体" w:cs="Times New Roman"/>
                <w:sz w:val="18"/>
                <w:szCs w:val="18"/>
                <w:lang w:eastAsia="zh-CN"/>
              </w:rPr>
              <w:t>Wave 1</w:t>
            </w:r>
            <w:r>
              <w:rPr>
                <w:rFonts w:hint="eastAsia" w:ascii="Times New Roman" w:hAnsi="Times New Roman" w:eastAsia="宋体" w:cs="Times New Roman"/>
                <w:sz w:val="18"/>
                <w:szCs w:val="18"/>
                <w:lang w:val="en-US" w:eastAsia="zh-CN"/>
              </w:rPr>
              <w:t>数据库暂未公开</w:t>
            </w: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FB1">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p>
          <w:p w14:paraId="35DC7FB2">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eastAsia" w:ascii="Times New Roman" w:hAnsi="Times New Roman" w:eastAsia="宋体" w:cs="Times New Roman"/>
                <w:sz w:val="13"/>
                <w:szCs w:val="13"/>
              </w:rPr>
              <w:t>否</w:t>
            </w:r>
          </w:p>
        </w:tc>
        <w:tc>
          <w:tcPr>
            <w:tcW w:w="2074" w:type="dxa"/>
          </w:tcPr>
          <w:p w14:paraId="35DC7FB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FB4">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FB5">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eastAsia" w:ascii="Times New Roman" w:hAnsi="Times New Roman" w:eastAsia="宋体" w:cs="Times New Roman"/>
                <w:sz w:val="13"/>
                <w:szCs w:val="13"/>
              </w:rPr>
              <w:t>否</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7">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tcPr>
          <w:p w14:paraId="35DC7FB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无</w:t>
            </w:r>
          </w:p>
        </w:tc>
        <w:tc>
          <w:tcPr>
            <w:tcW w:w="2074" w:type="dxa"/>
          </w:tcPr>
          <w:p w14:paraId="35DC7FB9">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tcPr>
          <w:p w14:paraId="35DC7FBA">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无</w:t>
            </w:r>
          </w:p>
        </w:tc>
      </w:tr>
    </w:tbl>
    <w:p w14:paraId="35DC7FBC">
      <w:pPr>
        <w:spacing w:line="300" w:lineRule="auto"/>
        <w:ind w:firstLine="422"/>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35DC7FBE">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孤独感是媒体和公共卫生运动经常关注的普遍问题。我们认为，这些善意的努力可能通过消极影响孤独感的潜在驱动因素——人们对独处状态的认知——反而加剧这一问题。支持这一论点的证据显示：当代美国新闻文章将独处描述为有害而非有益的可能性高出十倍（研究1，样本量N=144篇文章）；接触此类文章会直接影响人们对独处的认知（研究2，N=456）。此外，一项为期两周的经验抽样研究（研究3，N=161）表明，对独处持消极认知的人在日常生活中独处后孤独感会急剧上升，而持积极认知者独处后孤独感反而降低。最终，多项跨国研究证实这些结论在跨越六大洲的九个国家中具有普适性（研究4和5，N=2930）。这些发现共同揭示了人们对独处的认知在塑造孤独感过程中起到的关键作用。</w:t>
      </w: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35E2345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研究一</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第一项研究采用档案数据来考察当代美国新闻媒体如何描绘独处现象。数据收集：我们从ProQuest数据库（https://www.proquest.com/）检索了2020年1月1日至2022年12月31日期间，美国印刷发行量排名前十的日报媒体（即《纽约时报》《华尔街日报》《华盛顿邮报》《芝加哥论坛报》《今日美国》《坦帕湾时报》《纽约邮报》《洛杉矶时报》《新闻日报》和《明星论坛报》）发布的印刷版和网络版新闻记录。搜索包含以下术语的文章："being alone"（独处）、"time alone"（独处时光）、"solitude"（孤独）、"solitary"（独居）、"aloneness"（孤独感）或"isolation"（隔离）。我们确认遵守了ProQuest数据库的服务条款。</w:t>
      </w:r>
    </w:p>
    <w:p w14:paraId="6F6AE450">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二：</w:t>
      </w:r>
      <w:r>
        <w:rPr>
          <w:rFonts w:hint="eastAsia" w:ascii="Times New Roman" w:hAnsi="Times New Roman" w:eastAsia="宋体" w:cs="Times New Roman"/>
          <w:szCs w:val="24"/>
          <w14:ligatures w14:val="none"/>
        </w:rPr>
        <w:t>本实验检验接触关于独处信息是否会影响人们对独处的信念。我们已在AsPredicted平台预注册研究假设与分析方案（编号#148930，2023年10月28日，https://aspredicted.org/5xt83.pdf）。参与者 通过G*Power软件进行的先验功效分析表明，要检测小到中等效应量（Cohen's d = 0.30）并在0.05显著性水平达到90%统计功效，需要417名参与者。考虑到可能的样本排除，我们通过学术研究专用众包平台Prolific招募了456名英语流利的成年人。最终分析纳入439人（排除情况见下文；平均年龄=44.75岁，年龄标准差=14.24；女性47.4%，男性50.1%，非二元性别/其他2.5%；白人76.9%，黑人10.0%，拉丁裔6.9%，亚裔5.6%，其他种族0.7%；高中以下学历0.2%，高中学历12.1%，部分大学教育20.3%，副学士学位10.3%，学士学位38.3%，硕士学位15.5%，专业学位2.3%，博士学位1.1%）。入选标准为年满18周岁且英语流利。每位参与者获得3美元报酬。</w:t>
      </w:r>
    </w:p>
    <w:p w14:paraId="6171D0F1">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三：</w:t>
      </w:r>
      <w:r>
        <w:rPr>
          <w:rFonts w:hint="eastAsia" w:ascii="Times New Roman" w:hAnsi="Times New Roman" w:eastAsia="宋体" w:cs="Times New Roman"/>
          <w:szCs w:val="24"/>
          <w14:ligatures w14:val="none"/>
        </w:rPr>
        <w:t>这项经验取样研究探讨了人们对独处状态的信念是否会影响其在日常生活中独处后孤独感及其他情绪状态的变化程度。本研究未进行预注册。参与者通过Prolific平台招募了161名受试者参与关于"日常情绪"的研究，未告知研究团队对独处时间及孤独感的特别关注。入选标准为：年龄18-30岁、居住在美国、英语流利、持有安卓智能手机。样本量参考近期评估日常生活独处时间的经验取样研究确定68,69。经筛选后（见流程），最终纳入138名参与者（总观察量9570次）（平均年龄=25.04岁，标准差=3.37；女性42.8%，男性50.7%，非二元性别/其他6.5%；白人55.1%，亚裔13.0%，黑人13.8%，拉丁裔13.0%，其他种族5.1%；1%高中在读，21.7%高中学历，30.4%大学在读，37.7%本科学历，8.0%硕士学历，1.4%博士学历）。参与者分布美国本土各时区（东部时间42.0%，中部时间34.8%，山地时间2.2%，太平洋时间21.0%）。</w:t>
      </w:r>
    </w:p>
    <w:p w14:paraId="5A5332E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四：本</w:t>
      </w:r>
      <w:r>
        <w:rPr>
          <w:rFonts w:hint="eastAsia" w:ascii="Times New Roman" w:hAnsi="Times New Roman" w:eastAsia="宋体" w:cs="Times New Roman"/>
          <w:szCs w:val="24"/>
          <w14:ligatures w14:val="none"/>
        </w:rPr>
        <w:t>研究者招募了四个跨国样本，分别来自美国和日本。美国样本1共有251名参与者通过Prolific平台招募，最终244人纳入分析，平均年龄为37.32岁（SD = 12.73），其中46.3%为女性，50.4%为男性，3.3%为非二元或其他性别；种族构成以白人为主（67.2%），其余为亚裔（10.2%）、黑人（9.8%）、拉美裔（8.2%）及其他（4.5%）；教育程度涵盖从未完成高中（1.6%）到博士（0.004%）。参与者需年满18岁，在美国长大并现居美国，报酬为2美元。日本样本1共有269人通过Lancers平台招募，最终255人纳入分析，平均年龄为41.83岁（SD = 9.25），其中38.4%为女性，61.2%为男性，0.004%为非二元或其他性别，全部为日本人；教育背景从未完成高中（2.4%）到博士（2.0%），报酬为200日元（约1.5美元），参与者需在日本长大并现居日本。为验证可重复性，研究者开展了样本量更大的美国样本2和日本样本2。美国样本2共招募604人，576人纳入分析，平均年龄为41.27岁（SD = 13.58），49.7%为女性，48.8%为男性，1.6%为非二元或其他性别；种族构成主要为白人（74.0%），其他包括亚裔（7.5%）、黑人（7.8%）、拉美裔（7.3%）及其他（3.5%）；教育程度从未完成高中（1.0%）至博士（3.0%），报酬同为2美元。日本样本2共招募546人，最终511人纳入分析，平均年龄为43.16岁（SD = 9.88），39.9%为女性，59.1%为男性，1.0%为非二元或其他性别，所有参与者皆为日本人；教育程度从未完成高中（2.2%）至博士（1.0%），报酬为200日元（约1.5美元）。由于数据收集在17小时后遇到瓶颈，日本样本2未达到原定的600人目标，但数据收集终止前未查看任何数据，符合预注册计划。</w:t>
      </w:r>
    </w:p>
    <w:p w14:paraId="3AB54826">
      <w:pPr>
        <w:spacing w:line="300" w:lineRule="auto"/>
        <w:ind w:firstLine="420" w:firstLineChars="200"/>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研究五：通过众包平台Prolific（南非、英国、墨西哥、西班牙、澳大利亚、波兰）和Besample（巴西）在线招募参与者。选择Besample而非Prolific招募巴西参与者是因为截至2024年7月，Prolific平台上活跃的巴西用户不足25人。参与者需满足以下条件：(a)年满18周岁；(b)在对应国家成长；(c)当前居住在该国。每个国家有180名参与者完成研究（总样本量N=1260）。排除标准详见后文"排除标准"部分。纳入分析的参与者人口统计学特征详见补充信息。</w:t>
      </w:r>
    </w:p>
    <w:p w14:paraId="66A44080">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本研究选取了作者在 OSF（https://doi.org/10.17605/OSF.IO/6GX8R）上公开的数据集进行复现，重点使用研究</w:t>
      </w:r>
      <w:r>
        <w:rPr>
          <w:rFonts w:hint="eastAsia" w:ascii="Times New Roman" w:hAnsi="Times New Roman" w:eastAsia="宋体" w:cs="Times New Roman"/>
          <w:szCs w:val="24"/>
          <w:lang w:val="en-US" w:eastAsia="zh-CN"/>
          <w14:ligatures w14:val="none"/>
        </w:rPr>
        <w:t>一至</w:t>
      </w: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四的数据</w:t>
      </w:r>
      <w:r>
        <w:rPr>
          <w:rFonts w:hint="eastAsia" w:ascii="Times New Roman" w:hAnsi="Times New Roman" w:eastAsia="宋体" w:cs="Times New Roman"/>
          <w:szCs w:val="24"/>
          <w14:ligatures w14:val="none"/>
        </w:rPr>
        <w:t>。所用样本与原始研究一致，无需进行额外的数据替换或清洗，并报告</w:t>
      </w:r>
      <w:r>
        <w:rPr>
          <w:rFonts w:hint="eastAsia" w:ascii="Times New Roman" w:hAnsi="Times New Roman" w:eastAsia="宋体" w:cs="Times New Roman"/>
          <w:szCs w:val="24"/>
          <w:lang w:val="en-US" w:eastAsia="zh-CN"/>
          <w14:ligatures w14:val="none"/>
        </w:rPr>
        <w:t>原本</w:t>
      </w:r>
      <w:r>
        <w:rPr>
          <w:rFonts w:hint="eastAsia" w:ascii="Times New Roman" w:hAnsi="Times New Roman" w:eastAsia="宋体" w:cs="Times New Roman"/>
          <w:szCs w:val="24"/>
          <w14:ligatures w14:val="none"/>
        </w:rPr>
        <w:t>的样本量和</w:t>
      </w:r>
      <w:r>
        <w:rPr>
          <w:rFonts w:hint="eastAsia" w:ascii="Times New Roman" w:hAnsi="Times New Roman" w:eastAsia="宋体" w:cs="Times New Roman"/>
          <w:szCs w:val="24"/>
          <w:lang w:val="en-US" w:eastAsia="zh-CN"/>
          <w14:ligatures w14:val="none"/>
        </w:rPr>
        <w:t>效应量的</w:t>
      </w:r>
      <w:r>
        <w:rPr>
          <w:rFonts w:hint="eastAsia" w:ascii="Times New Roman" w:hAnsi="Times New Roman" w:eastAsia="宋体" w:cs="Times New Roman"/>
          <w:szCs w:val="24"/>
          <w14:ligatures w14:val="none"/>
        </w:rPr>
        <w:t>结果。</w:t>
      </w:r>
    </w:p>
    <w:p w14:paraId="35DC7FC3">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0D3073AC">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一：研究1采用内容分析法，基于ProQuest数据库收集2020年至2022年间美国前十大发行量报纸中与“独处”相关的新闻文章。研究分为两个阶段：首先通过关键词检索并筛选标题与全文，以人工双盲编码的方式剔除与人际独处无关的内容；其次进行系统的标题和全文内容分析。标题分析由四名编码员对每篇文章标题进行情感倾向分类，并计算Fleiss’s Kappa检验一致性。全文分析部分由八名编码员组成四组，使用二元变量编码判断是否提及独处的具体益处与风险，并通过Cohen’s Kappa检验组内一致性。研究未使用自动化文本分析工具，而是依赖人工内容判定与统计分析方法，编码一致性数据表明分析过程具有高度信度。相关统计分析借助R完成，涉及的统计方法包括Cohen’s Kappa与Fleiss’s Kappa等一致性系数计算。</w:t>
      </w:r>
    </w:p>
    <w:p w14:paraId="56E0E713">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研究二：研究2采用实验设计，检验媒体中关于独处信息的呈现是否会影响人们对独处的信念。研究预先在 AsPredicted 注册假设与分析计划（注册号 #148930），通过 Prolific 平台招募456名符合条件的成年参与者，并最终纳入439人用于分析。实验采用阅读理解掩饰任务，将参与者随机分配至三组：独处益处组、独处风险组与中性控制组，每组阅读一篇经ChatGPT草拟、由研究者修订的短文（约150词），并结合三篇填充文章组成共四篇阅读材料。为了检测参与者对材料的理解与注意力，研究设计了高亮关键词任务与简答题，并依据编码员的一致性评估（Gwet's AC1 系数均在0.993以上）剔除未通过者。随后，参与者完成四份简短问卷以评估其信念，其中仅一份涉及独处相关信念，采用1到7的李克特量表测量，并计算信念总分（α = 0.93）。为避免猜测研究目的对结果的干扰，研究还设置了漏斗式的脱敏访谈，并根据参与者是否准确识别研究假设进行剔除。最终样本为440人。</w:t>
      </w:r>
    </w:p>
    <w:p w14:paraId="0848C405">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数据分析使用 R 语言（版本1.4.1717）进行，按照预注册方案执行对比检验，重点比较“独处益处组”与“控制组”、“独处益处组”与“独处风险组”之间在独处信念评分上的差异。分析中遵循正态性和方差齐性的统计假设，并报告了由设定参考组所导致的负向回归系数（以绝对值呈现）。整个分析流程严格遵循实验控制与统计推断标准，确保了研究的信度与解释效度。</w:t>
      </w:r>
    </w:p>
    <w:p w14:paraId="7F16BD03">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14:ligatures w14:val="none"/>
        </w:rPr>
        <w:t>研究三</w:t>
      </w:r>
      <w:r>
        <w:rPr>
          <w:rFonts w:hint="eastAsia" w:ascii="Times New Roman" w:hAnsi="Times New Roman" w:eastAsia="宋体" w:cs="Times New Roman"/>
          <w:szCs w:val="24"/>
          <w:lang w:eastAsia="zh-CN"/>
          <w14:ligatures w14:val="none"/>
        </w:rPr>
        <w:t>：研究三采用经验抽样法（Experience Sampling Method, ESM）考察人们对独处的信念是否会影响其在日常生活中独处后的孤独感变化。研究共招募161名18至30岁的美国参与者（最终样本为138人），要求为Android手机用户并能流利使用英语。研究共分两个阶段：第一阶段，参与者填写背景问卷，测量包括“对独处的信念”在内的多项心理变量；第二阶段，在为期14天的追踪期间，参与者每天接收5次短信（9:00、12:00、15:00、18:00、21:00），每次填写关于当前孤独感、过去数小时内的独处时间及多种情绪状态（如压力、无聊、正负性情绪等）的简短调查问卷。数据分析使用R软件（版本1.4.1717）中的lme4（版本1.1-26）和lmerTest（版本3.1-3）包，建立线性混合效应模型（Linear Mixed-Effects Models），处理时间点嵌套于个体的数据结构。模型中将独处时间预测相邻时间点之间的孤独感变化，控制前一时间点的孤独感，并检验“对独处的信念”是否调节上述关系。模型允许随机截距和斜率，并对一级变量进行个体均值中心化、二级变量进行总均值中心化，同时排除了跨日的滞后效应。为检验稳健性，研究还将抑郁、焦虑、孤独、社会支持与外向性作为协变量纳入模型，所有统计分析均符合常规假设检验前提。</w:t>
      </w:r>
    </w:p>
    <w:p w14:paraId="3187B480">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研究四：研究4采用跨国横断面设计，包含四个样本（美国两个，日本两个），旨在探讨对独处的信念是否调节了过去一个月独处时间与孤独感之间的关系。美国样本1通过Prolific招募251名参与者，分析纳入244人；日本样本1通过Lancers招募269人，分析纳入255人。美国样本2招募604人，分析纳入576人；日本样本2招募546人，分析纳入511人。样本量通过G*Power进行事前功率分析确定，样本1目标为95%功率检测Cohen’s d = 0.35效应（每国178人，计划招募250人），样本2目标为检测d = 0.20效应（每国542人，计划招募600人）。参与者完成问卷，评估独处信念（6项量表）、孤独感（UCLA孤独感量表，8项）、独处时间（MIDUS/MIDJA社交接触项反向评分）及文化维度（关系流动性、紧密-松散、个人/集体主义量表）。数据分析包括独立样本t检验，比较两国独处信念差异；使用R（版本1.4.1717）中的lme4包（版本1.1-26）构建线性混合效应模型，检验独处时间与独处信念的交互作用对孤独感的影响，样本作为随机截距，控制文化和人口变量。数据满足残差独立性、正态性和同方差性假设。双变量相关和媒体暴露分析按预注册计划执行，结果见补充信息。</w:t>
      </w:r>
    </w:p>
    <w:p w14:paraId="35DC7FC4">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研究五：研究5采用与研究4相同的横断面设计，在七个国家（巴西、南非、英国、墨西哥、西班牙、澳大利亚、波兰）重新测试，以检验结果在不同文化背景下的普遍性。国家选择基于2024年全球繁荣研究（Global Flourishing Study）中的孤独感均值，通过k均值聚类分为低、中、高孤独感组别，确保地理代表性。样本量通过R中simr包的powerCurve函数进行事前功率分析，设定交互效应（独处时间与独处信念）的未标准化β为-0.3057（基于研究4最小效应），随机截距方差为1.05，残差标准差为4.465，分析显示每国150名参与者可提供97.10%功率（95% CI [95.86, 98.05]），计划每国招募180人以应对排除情况。参与者通过Prolific（南非、英国、墨西哥、西班牙、澳大利亚、波兰）和Besample（巴西）在线招募，总计1260人（每国180人），需年满18岁、在研究国家成长并居住。程序与研究4一致，但移除媒体暴露问题，支付统一为2美元。非英语国家（巴西、墨西哥、西班牙、波兰）的问卷翻译成葡萄牙语、西班牙语和波兰语，先由Google Translate初步翻译，再由母语者与第一作者（M.R.）校对并回译验证。数据分析包括各国的双变量相关（Pearson’s r）检验独处信念与孤独感的关系，以及混合效应线性回归模型，合并所有国家数据，测试独处时间、独处信念及其交互对孤独感的影响，以国家为随机截距，满足残差独立性、正态性和同方差性假设。所有分析使用R软件（版本未指定），涉及simr包进行功率分析，探索性分析（如文化差异、交互效应变异）见补充信息。</w:t>
      </w:r>
    </w:p>
    <w:p w14:paraId="35DC7FC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35DC7FC6">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对选用的文章进行复现的思路，包括选取了哪些部分重复及其原因，在使用原文献方法进行重复时是否有需要改动的情况、具体如何改动的。</w:t>
      </w:r>
    </w:p>
    <w:p w14:paraId="35DC7FC7">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此外，如果使用了创新方法，需要具体介绍，并结合相应理论对该方法的可行性、及其相比原方法的优势进行说明。</w:t>
      </w:r>
    </w:p>
    <w:p w14:paraId="35DC7FC8">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52AF20A8">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对原文献描述性统计进行重复的结果，并汇总表格：</w:t>
      </w:r>
    </w:p>
    <w:p w14:paraId="35DC7FCB">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ascii="Times New Roman" w:hAnsi="Times New Roman" w:eastAsia="黑体" w:cs="Times New Roman"/>
          <w:b/>
          <w:bCs/>
          <w:sz w:val="18"/>
          <w:szCs w:val="18"/>
          <w14:ligatures w14:val="none"/>
        </w:rPr>
        <w:t xml:space="preserve"> 描述性统计</w:t>
      </w:r>
      <w:r>
        <w:rPr>
          <w:rFonts w:hint="eastAsia" w:ascii="Times New Roman" w:hAnsi="Times New Roman" w:eastAsia="黑体" w:cs="Times New Roman"/>
          <w:b/>
          <w:bCs/>
          <w:sz w:val="18"/>
          <w:szCs w:val="18"/>
          <w14:ligatures w14:val="none"/>
        </w:rPr>
        <w:t>结果的比较</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35DC7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185" w:type="dxa"/>
            <w:tcBorders>
              <w:top w:val="single" w:color="auto" w:sz="12" w:space="0"/>
            </w:tcBorders>
          </w:tcPr>
          <w:p w14:paraId="35DC7FCC">
            <w:pPr>
              <w:keepNext w:val="0"/>
              <w:keepLines w:val="0"/>
              <w:suppressLineNumbers w:val="0"/>
              <w:spacing w:before="0" w:beforeAutospacing="0" w:after="0" w:afterAutospacing="0" w:line="360" w:lineRule="auto"/>
              <w:ind w:left="0" w:right="0" w:firstLine="360"/>
              <w:rPr>
                <w:rFonts w:hint="default" w:ascii="Times New Roman" w:hAnsi="Times New Roman" w:eastAsia="宋体" w:cs="Times New Roman"/>
                <w:sz w:val="18"/>
                <w:szCs w:val="18"/>
                <w14:ligatures w14:val="none"/>
              </w:rPr>
            </w:pPr>
          </w:p>
        </w:tc>
        <w:tc>
          <w:tcPr>
            <w:tcW w:w="3555" w:type="dxa"/>
            <w:gridSpan w:val="3"/>
            <w:tcBorders>
              <w:top w:val="single" w:color="auto" w:sz="12" w:space="0"/>
            </w:tcBorders>
          </w:tcPr>
          <w:p w14:paraId="35DC7FCD">
            <w:pPr>
              <w:keepNext w:val="0"/>
              <w:keepLines w:val="0"/>
              <w:suppressLineNumbers w:val="0"/>
              <w:spacing w:before="0" w:beforeAutospacing="0" w:after="0" w:afterAutospacing="0" w:line="360" w:lineRule="auto"/>
              <w:ind w:left="0" w:right="0" w:firstLine="36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Article</w:t>
            </w:r>
          </w:p>
        </w:tc>
        <w:tc>
          <w:tcPr>
            <w:tcW w:w="3556" w:type="dxa"/>
            <w:gridSpan w:val="3"/>
            <w:tcBorders>
              <w:top w:val="single" w:color="auto" w:sz="12" w:space="0"/>
            </w:tcBorders>
          </w:tcPr>
          <w:p w14:paraId="35DC7FCE">
            <w:pPr>
              <w:keepNext w:val="0"/>
              <w:keepLines w:val="0"/>
              <w:suppressLineNumbers w:val="0"/>
              <w:spacing w:before="0" w:beforeAutospacing="0" w:after="0" w:afterAutospacing="0" w:line="360" w:lineRule="auto"/>
              <w:ind w:left="0" w:right="0" w:firstLine="36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变量二</w:t>
            </w:r>
          </w:p>
        </w:tc>
      </w:tr>
      <w:tr w14:paraId="35DC7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5" w:type="dxa"/>
            <w:tcBorders>
              <w:bottom w:val="single" w:color="auto" w:sz="4" w:space="0"/>
            </w:tcBorders>
          </w:tcPr>
          <w:p w14:paraId="35DC7FD0">
            <w:pPr>
              <w:keepNext w:val="0"/>
              <w:keepLines w:val="0"/>
              <w:suppressLineNumbers w:val="0"/>
              <w:spacing w:before="0" w:beforeAutospacing="0" w:after="0" w:afterAutospacing="0" w:line="360" w:lineRule="auto"/>
              <w:ind w:left="0" w:right="0" w:firstLine="360"/>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7FD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FD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5" w:type="dxa"/>
            <w:tcBorders>
              <w:bottom w:val="single" w:color="auto" w:sz="4" w:space="0"/>
            </w:tcBorders>
          </w:tcPr>
          <w:p w14:paraId="35DC7FD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14:ligatures w14:val="none"/>
              </w:rPr>
              <w:t>SD</w:t>
            </w:r>
          </w:p>
        </w:tc>
        <w:tc>
          <w:tcPr>
            <w:tcW w:w="1185" w:type="dxa"/>
            <w:tcBorders>
              <w:bottom w:val="single" w:color="auto" w:sz="4" w:space="0"/>
            </w:tcBorders>
          </w:tcPr>
          <w:p w14:paraId="35DC7FD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FD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6" w:type="dxa"/>
            <w:tcBorders>
              <w:bottom w:val="single" w:color="auto" w:sz="4" w:space="0"/>
            </w:tcBorders>
          </w:tcPr>
          <w:p w14:paraId="35DC7FD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14:ligatures w14:val="none"/>
              </w:rPr>
              <w:t>SD</w:t>
            </w:r>
          </w:p>
        </w:tc>
      </w:tr>
      <w:tr w14:paraId="35DC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85" w:type="dxa"/>
            <w:tcBorders>
              <w:top w:val="single" w:color="auto" w:sz="4" w:space="0"/>
            </w:tcBorders>
            <w:vAlign w:val="center"/>
          </w:tcPr>
          <w:p w14:paraId="35DC7FD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35DC7FD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185" w:type="dxa"/>
            <w:tcBorders>
              <w:top w:val="single" w:color="auto" w:sz="4" w:space="0"/>
            </w:tcBorders>
            <w:vAlign w:val="center"/>
          </w:tcPr>
          <w:p w14:paraId="35DC7FD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691</w:t>
            </w:r>
          </w:p>
        </w:tc>
        <w:tc>
          <w:tcPr>
            <w:tcW w:w="1185" w:type="dxa"/>
            <w:tcBorders>
              <w:top w:val="single" w:color="auto" w:sz="4" w:space="0"/>
            </w:tcBorders>
            <w:vAlign w:val="center"/>
          </w:tcPr>
          <w:p w14:paraId="35DC7FD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6" w:type="dxa"/>
            <w:tcBorders>
              <w:top w:val="single" w:color="auto" w:sz="4" w:space="0"/>
            </w:tcBorders>
            <w:vAlign w:val="center"/>
          </w:tcPr>
          <w:p w14:paraId="35DC7FD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5DC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FE1">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185" w:type="dxa"/>
            <w:vAlign w:val="center"/>
          </w:tcPr>
          <w:p w14:paraId="35DC7FE2">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vAlign w:val="center"/>
          </w:tcPr>
          <w:p w14:paraId="35DC7FE3">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vAlign w:val="center"/>
          </w:tcPr>
          <w:p w14:paraId="35DC7FE4">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vAlign w:val="center"/>
          </w:tcPr>
          <w:p w14:paraId="35DC7FE5">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vAlign w:val="center"/>
          </w:tcPr>
          <w:p w14:paraId="35DC7FE6">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6" w:type="dxa"/>
            <w:vAlign w:val="center"/>
          </w:tcPr>
          <w:p w14:paraId="35DC7FE7">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r>
      <w:tr w14:paraId="35DC7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FE9">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Cs w:val="24"/>
                <w14:ligatures w14:val="none"/>
              </w:rPr>
              <w:t>δ</w:t>
            </w:r>
          </w:p>
        </w:tc>
        <w:tc>
          <w:tcPr>
            <w:tcW w:w="1185" w:type="dxa"/>
            <w:vAlign w:val="center"/>
          </w:tcPr>
          <w:p w14:paraId="35DC7FEA">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vAlign w:val="center"/>
          </w:tcPr>
          <w:p w14:paraId="35DC7FEB">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vAlign w:val="center"/>
          </w:tcPr>
          <w:p w14:paraId="35DC7FEC">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vAlign w:val="center"/>
          </w:tcPr>
          <w:p w14:paraId="35DC7FED">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vAlign w:val="center"/>
          </w:tcPr>
          <w:p w14:paraId="35DC7FEE">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6" w:type="dxa"/>
            <w:vAlign w:val="center"/>
          </w:tcPr>
          <w:p w14:paraId="35DC7FEF">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r>
      <w:tr w14:paraId="35DC7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tcBorders>
              <w:bottom w:val="single" w:color="auto" w:sz="12" w:space="0"/>
            </w:tcBorders>
            <w:vAlign w:val="center"/>
          </w:tcPr>
          <w:p w14:paraId="35DC7FF1">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评级</w:t>
            </w:r>
          </w:p>
        </w:tc>
        <w:tc>
          <w:tcPr>
            <w:tcW w:w="1185" w:type="dxa"/>
            <w:tcBorders>
              <w:bottom w:val="single" w:color="auto" w:sz="12" w:space="0"/>
            </w:tcBorders>
            <w:vAlign w:val="center"/>
          </w:tcPr>
          <w:p w14:paraId="35DC7FF2">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3">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4">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5">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6">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c>
          <w:tcPr>
            <w:tcW w:w="1186" w:type="dxa"/>
            <w:tcBorders>
              <w:bottom w:val="single" w:color="auto" w:sz="12" w:space="0"/>
            </w:tcBorders>
            <w:vAlign w:val="center"/>
          </w:tcPr>
          <w:p w14:paraId="35DC7FF7">
            <w:pPr>
              <w:keepNext w:val="0"/>
              <w:keepLines w:val="0"/>
              <w:suppressLineNumbers w:val="0"/>
              <w:spacing w:before="0" w:beforeAutospacing="0" w:after="0" w:afterAutospacing="0" w:line="480" w:lineRule="auto"/>
              <w:ind w:left="0" w:right="0"/>
              <w:jc w:val="center"/>
              <w:rPr>
                <w:rFonts w:hint="default" w:ascii="Times New Roman" w:hAnsi="Times New Roman" w:eastAsia="宋体" w:cs="Times New Roman"/>
                <w:sz w:val="18"/>
                <w:szCs w:val="18"/>
                <w14:ligatures w14:val="none"/>
              </w:rPr>
            </w:pPr>
          </w:p>
        </w:tc>
      </w:tr>
    </w:tbl>
    <w:p w14:paraId="35DC7FF9">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35DC7FFA">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3.2.1 使用与原文献相同方法的推断性统计</w:t>
      </w:r>
    </w:p>
    <w:p w14:paraId="076EFA32">
      <w:pPr>
        <w:spacing w:line="300" w:lineRule="auto"/>
        <w:ind w:firstLine="420" w:firstLineChars="200"/>
        <w:contextualSpacing/>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报告对原文献推断性统计进行重复的结果，并汇总表格：</w:t>
      </w:r>
    </w:p>
    <w:p w14:paraId="35DC7FFB">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br w:type="page"/>
      </w:r>
    </w:p>
    <w:p w14:paraId="0A477C4B">
      <w:pPr>
        <w:spacing w:line="300" w:lineRule="auto"/>
        <w:ind w:firstLine="420" w:firstLineChars="200"/>
        <w:contextualSpacing/>
        <w:rPr>
          <w:rFonts w:hint="eastAsia" w:ascii="Times New Roman" w:hAnsi="Times New Roman" w:eastAsia="宋体" w:cs="Times New Roman"/>
          <w:szCs w:val="24"/>
          <w14:ligatures w14:val="none"/>
        </w:rPr>
      </w:pPr>
    </w:p>
    <w:p w14:paraId="35DC7DDE">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14:ligatures w14:val="none"/>
        </w:rPr>
        <w:t xml:space="preserve"> 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传统统计方法中的重要参数</w:t>
      </w:r>
    </w:p>
    <w:tbl>
      <w:tblPr>
        <w:tblStyle w:val="5"/>
        <w:tblW w:w="0" w:type="auto"/>
        <w:jc w:val="center"/>
        <w:tblCellSpacing w:w="15" w:type="dxa"/>
        <w:tblLayout w:type="autofit"/>
        <w:tblCellMar>
          <w:top w:w="15" w:type="dxa"/>
          <w:left w:w="15" w:type="dxa"/>
          <w:bottom w:w="15" w:type="dxa"/>
          <w:right w:w="15" w:type="dxa"/>
        </w:tblCellMar>
      </w:tblPr>
      <w:tblGrid>
        <w:gridCol w:w="2694"/>
        <w:gridCol w:w="1417"/>
        <w:gridCol w:w="1417"/>
        <w:gridCol w:w="1418"/>
      </w:tblGrid>
      <w:tr w14:paraId="35DC7DE3">
        <w:tblPrEx>
          <w:tblCellMar>
            <w:top w:w="15" w:type="dxa"/>
            <w:left w:w="15" w:type="dxa"/>
            <w:bottom w:w="15" w:type="dxa"/>
            <w:right w:w="15" w:type="dxa"/>
          </w:tblCellMar>
        </w:tblPrEx>
        <w:trPr>
          <w:tblHeader/>
          <w:tblCellSpacing w:w="15" w:type="dxa"/>
          <w:jc w:val="center"/>
        </w:trPr>
        <w:tc>
          <w:tcPr>
            <w:tcW w:w="2649" w:type="dxa"/>
            <w:tcBorders>
              <w:top w:val="single" w:color="auto" w:sz="8" w:space="0"/>
              <w:bottom w:val="single" w:color="auto" w:sz="4" w:space="0"/>
            </w:tcBorders>
            <w:shd w:val="clear" w:color="auto" w:fill="auto"/>
            <w:vAlign w:val="center"/>
          </w:tcPr>
          <w:p w14:paraId="35DC7DDF">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统计方法</w:t>
            </w:r>
          </w:p>
        </w:tc>
        <w:tc>
          <w:tcPr>
            <w:tcW w:w="1387" w:type="dxa"/>
            <w:tcBorders>
              <w:top w:val="single" w:color="auto" w:sz="8" w:space="0"/>
              <w:bottom w:val="single" w:color="auto" w:sz="4" w:space="0"/>
            </w:tcBorders>
            <w:shd w:val="clear" w:color="auto" w:fill="auto"/>
            <w:vAlign w:val="center"/>
          </w:tcPr>
          <w:p w14:paraId="35DC7DE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统计量</w:t>
            </w:r>
          </w:p>
        </w:tc>
        <w:tc>
          <w:tcPr>
            <w:tcW w:w="1387" w:type="dxa"/>
            <w:tcBorders>
              <w:top w:val="single" w:color="auto" w:sz="8" w:space="0"/>
              <w:bottom w:val="single" w:color="auto" w:sz="4" w:space="0"/>
            </w:tcBorders>
            <w:shd w:val="clear" w:color="auto" w:fill="auto"/>
            <w:vAlign w:val="center"/>
          </w:tcPr>
          <w:p w14:paraId="35DC7DE1">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效应量</w:t>
            </w:r>
          </w:p>
        </w:tc>
        <w:tc>
          <w:tcPr>
            <w:tcW w:w="1373" w:type="dxa"/>
            <w:tcBorders>
              <w:top w:val="single" w:color="auto" w:sz="8" w:space="0"/>
              <w:bottom w:val="single" w:color="auto" w:sz="4" w:space="0"/>
            </w:tcBorders>
            <w:shd w:val="clear" w:color="auto" w:fill="auto"/>
            <w:vAlign w:val="center"/>
          </w:tcPr>
          <w:p w14:paraId="35DC7DE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显著性指标</w:t>
            </w:r>
          </w:p>
        </w:tc>
      </w:tr>
      <w:tr w14:paraId="35DC7DE8">
        <w:tblPrEx>
          <w:tblCellMar>
            <w:top w:w="15" w:type="dxa"/>
            <w:left w:w="15" w:type="dxa"/>
            <w:bottom w:w="15" w:type="dxa"/>
            <w:right w:w="15" w:type="dxa"/>
          </w:tblCellMar>
        </w:tblPrEx>
        <w:trPr>
          <w:tblCellSpacing w:w="15" w:type="dxa"/>
          <w:jc w:val="center"/>
        </w:trPr>
        <w:tc>
          <w:tcPr>
            <w:tcW w:w="2649" w:type="dxa"/>
            <w:shd w:val="clear" w:color="auto" w:fill="auto"/>
            <w:vAlign w:val="center"/>
          </w:tcPr>
          <w:p w14:paraId="35DC7DE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t检验 (t-test)</w:t>
            </w:r>
          </w:p>
        </w:tc>
        <w:tc>
          <w:tcPr>
            <w:tcW w:w="1387" w:type="dxa"/>
            <w:shd w:val="clear" w:color="auto" w:fill="auto"/>
            <w:vAlign w:val="center"/>
          </w:tcPr>
          <w:p w14:paraId="35DC7DE5">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t</w:t>
            </w:r>
            <w:r>
              <w:rPr>
                <w:rFonts w:hint="default" w:ascii="Times New Roman" w:hAnsi="Times New Roman" w:eastAsia="宋体" w:cs="Times New Roman"/>
                <w:sz w:val="18"/>
                <w:szCs w:val="18"/>
              </w:rPr>
              <w:t xml:space="preserve"> 值</w:t>
            </w:r>
          </w:p>
        </w:tc>
        <w:tc>
          <w:tcPr>
            <w:tcW w:w="1387" w:type="dxa"/>
            <w:shd w:val="clear" w:color="auto" w:fill="auto"/>
            <w:vAlign w:val="center"/>
          </w:tcPr>
          <w:p w14:paraId="35DC7DE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Cohen’s </w:t>
            </w:r>
            <w:r>
              <w:rPr>
                <w:rFonts w:hint="default" w:ascii="Times New Roman" w:hAnsi="Times New Roman" w:eastAsia="宋体" w:cs="Times New Roman"/>
                <w:i/>
                <w:iCs/>
                <w:sz w:val="18"/>
                <w:szCs w:val="18"/>
              </w:rPr>
              <w:t>d</w:t>
            </w:r>
          </w:p>
        </w:tc>
        <w:tc>
          <w:tcPr>
            <w:tcW w:w="1373" w:type="dxa"/>
            <w:shd w:val="clear" w:color="auto" w:fill="auto"/>
            <w:vAlign w:val="center"/>
          </w:tcPr>
          <w:p w14:paraId="35DC7DE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p</w:t>
            </w:r>
            <w:r>
              <w:rPr>
                <w:rFonts w:hint="default" w:ascii="Times New Roman" w:hAnsi="Times New Roman" w:eastAsia="宋体" w:cs="Times New Roman"/>
                <w:sz w:val="18"/>
                <w:szCs w:val="18"/>
              </w:rPr>
              <w:t xml:space="preserve"> 值</w:t>
            </w:r>
          </w:p>
        </w:tc>
      </w:tr>
      <w:tr w14:paraId="35DC7DED">
        <w:tblPrEx>
          <w:tblCellMar>
            <w:top w:w="15" w:type="dxa"/>
            <w:left w:w="15" w:type="dxa"/>
            <w:bottom w:w="15" w:type="dxa"/>
            <w:right w:w="15" w:type="dxa"/>
          </w:tblCellMar>
        </w:tblPrEx>
        <w:trPr>
          <w:trHeight w:val="90" w:hRule="atLeast"/>
          <w:tblCellSpacing w:w="15" w:type="dxa"/>
          <w:jc w:val="center"/>
        </w:trPr>
        <w:tc>
          <w:tcPr>
            <w:tcW w:w="2649" w:type="dxa"/>
            <w:shd w:val="clear" w:color="auto" w:fill="auto"/>
            <w:vAlign w:val="center"/>
          </w:tcPr>
          <w:p w14:paraId="35DC7DE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方差分析 (ANOVA)</w:t>
            </w:r>
          </w:p>
        </w:tc>
        <w:tc>
          <w:tcPr>
            <w:tcW w:w="1387" w:type="dxa"/>
            <w:shd w:val="clear" w:color="auto" w:fill="auto"/>
            <w:vAlign w:val="center"/>
          </w:tcPr>
          <w:p w14:paraId="35DC7DEA">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F</w:t>
            </w:r>
            <w:r>
              <w:rPr>
                <w:rFonts w:hint="default" w:ascii="Times New Roman" w:hAnsi="Times New Roman" w:eastAsia="宋体" w:cs="Times New Roman"/>
                <w:sz w:val="18"/>
                <w:szCs w:val="18"/>
              </w:rPr>
              <w:t xml:space="preserve"> 值</w:t>
            </w:r>
          </w:p>
        </w:tc>
        <w:tc>
          <w:tcPr>
            <w:tcW w:w="1387" w:type="dxa"/>
            <w:shd w:val="clear" w:color="auto" w:fill="auto"/>
            <w:vAlign w:val="center"/>
          </w:tcPr>
          <w:p w14:paraId="35DC7DE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η</w:t>
            </w:r>
            <w:r>
              <w:rPr>
                <w:rFonts w:hint="default" w:ascii="Times New Roman" w:hAnsi="Times New Roman" w:eastAsia="宋体" w:cs="Times New Roman"/>
                <w:sz w:val="18"/>
                <w:szCs w:val="18"/>
              </w:rPr>
              <w:t xml:space="preserve">2 或 partial </w:t>
            </w:r>
            <w:r>
              <w:rPr>
                <w:rFonts w:hint="default" w:ascii="Times New Roman" w:hAnsi="Times New Roman" w:eastAsia="宋体" w:cs="Times New Roman"/>
                <w:i/>
                <w:iCs/>
                <w:sz w:val="18"/>
                <w:szCs w:val="18"/>
              </w:rPr>
              <w:t>η</w:t>
            </w:r>
            <w:r>
              <w:rPr>
                <w:rFonts w:hint="default" w:ascii="Times New Roman" w:hAnsi="Times New Roman" w:eastAsia="宋体" w:cs="Times New Roman"/>
                <w:sz w:val="18"/>
                <w:szCs w:val="18"/>
              </w:rPr>
              <w:t>2</w:t>
            </w:r>
          </w:p>
        </w:tc>
        <w:tc>
          <w:tcPr>
            <w:tcW w:w="1373" w:type="dxa"/>
            <w:shd w:val="clear" w:color="auto" w:fill="auto"/>
            <w:vAlign w:val="center"/>
          </w:tcPr>
          <w:p w14:paraId="35DC7DE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p</w:t>
            </w:r>
            <w:r>
              <w:rPr>
                <w:rFonts w:hint="default" w:ascii="Times New Roman" w:hAnsi="Times New Roman" w:eastAsia="宋体" w:cs="Times New Roman"/>
                <w:sz w:val="18"/>
                <w:szCs w:val="18"/>
              </w:rPr>
              <w:t xml:space="preserve"> 值</w:t>
            </w:r>
          </w:p>
        </w:tc>
      </w:tr>
      <w:tr w14:paraId="35DC7DF2">
        <w:tblPrEx>
          <w:tblCellMar>
            <w:top w:w="15" w:type="dxa"/>
            <w:left w:w="15" w:type="dxa"/>
            <w:bottom w:w="15" w:type="dxa"/>
            <w:right w:w="15" w:type="dxa"/>
          </w:tblCellMar>
        </w:tblPrEx>
        <w:trPr>
          <w:tblCellSpacing w:w="15" w:type="dxa"/>
          <w:jc w:val="center"/>
        </w:trPr>
        <w:tc>
          <w:tcPr>
            <w:tcW w:w="2649" w:type="dxa"/>
            <w:shd w:val="clear" w:color="auto" w:fill="auto"/>
            <w:vAlign w:val="center"/>
          </w:tcPr>
          <w:p w14:paraId="35DC7DEE">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相关分析 (Correlation)</w:t>
            </w:r>
          </w:p>
        </w:tc>
        <w:tc>
          <w:tcPr>
            <w:tcW w:w="1387" w:type="dxa"/>
            <w:shd w:val="clear" w:color="auto" w:fill="auto"/>
            <w:vAlign w:val="center"/>
          </w:tcPr>
          <w:p w14:paraId="35DC7DEF">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r</w:t>
            </w:r>
            <w:r>
              <w:rPr>
                <w:rFonts w:hint="default" w:ascii="Times New Roman" w:hAnsi="Times New Roman" w:eastAsia="宋体" w:cs="Times New Roman"/>
                <w:sz w:val="18"/>
                <w:szCs w:val="18"/>
              </w:rPr>
              <w:t xml:space="preserve"> 值</w:t>
            </w:r>
          </w:p>
        </w:tc>
        <w:tc>
          <w:tcPr>
            <w:tcW w:w="1387" w:type="dxa"/>
            <w:shd w:val="clear" w:color="auto" w:fill="auto"/>
            <w:vAlign w:val="center"/>
          </w:tcPr>
          <w:p w14:paraId="35DC7DF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Pearson’s </w:t>
            </w:r>
            <w:r>
              <w:rPr>
                <w:rFonts w:hint="default" w:ascii="Times New Roman" w:hAnsi="Times New Roman" w:eastAsia="宋体" w:cs="Times New Roman"/>
                <w:i/>
                <w:iCs/>
                <w:sz w:val="18"/>
                <w:szCs w:val="18"/>
              </w:rPr>
              <w:t>r</w:t>
            </w:r>
          </w:p>
        </w:tc>
        <w:tc>
          <w:tcPr>
            <w:tcW w:w="1373" w:type="dxa"/>
            <w:shd w:val="clear" w:color="auto" w:fill="auto"/>
            <w:vAlign w:val="center"/>
          </w:tcPr>
          <w:p w14:paraId="35DC7DF1">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p</w:t>
            </w:r>
            <w:r>
              <w:rPr>
                <w:rFonts w:hint="default" w:ascii="Times New Roman" w:hAnsi="Times New Roman" w:eastAsia="宋体" w:cs="Times New Roman"/>
                <w:sz w:val="18"/>
                <w:szCs w:val="18"/>
              </w:rPr>
              <w:t xml:space="preserve"> 值</w:t>
            </w:r>
          </w:p>
        </w:tc>
      </w:tr>
      <w:tr w14:paraId="35DC7DF7">
        <w:tblPrEx>
          <w:tblCellMar>
            <w:top w:w="15" w:type="dxa"/>
            <w:left w:w="15" w:type="dxa"/>
            <w:bottom w:w="15" w:type="dxa"/>
            <w:right w:w="15" w:type="dxa"/>
          </w:tblCellMar>
        </w:tblPrEx>
        <w:trPr>
          <w:tblCellSpacing w:w="15" w:type="dxa"/>
          <w:jc w:val="center"/>
        </w:trPr>
        <w:tc>
          <w:tcPr>
            <w:tcW w:w="2649" w:type="dxa"/>
            <w:shd w:val="clear" w:color="auto" w:fill="auto"/>
            <w:vAlign w:val="center"/>
          </w:tcPr>
          <w:p w14:paraId="35DC7DF3">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回归分析 (Regression)</w:t>
            </w:r>
          </w:p>
        </w:tc>
        <w:tc>
          <w:tcPr>
            <w:tcW w:w="1387" w:type="dxa"/>
            <w:shd w:val="clear" w:color="auto" w:fill="auto"/>
            <w:vAlign w:val="center"/>
          </w:tcPr>
          <w:p w14:paraId="35DC7DF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t</w:t>
            </w:r>
            <w:r>
              <w:rPr>
                <w:rFonts w:hint="default" w:ascii="Times New Roman" w:hAnsi="Times New Roman" w:eastAsia="宋体" w:cs="Times New Roman"/>
                <w:sz w:val="18"/>
                <w:szCs w:val="18"/>
              </w:rPr>
              <w:t xml:space="preserve"> 值</w:t>
            </w:r>
          </w:p>
        </w:tc>
        <w:tc>
          <w:tcPr>
            <w:tcW w:w="1387" w:type="dxa"/>
            <w:shd w:val="clear" w:color="auto" w:fill="auto"/>
            <w:vAlign w:val="center"/>
          </w:tcPr>
          <w:p w14:paraId="35DC7DF5">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R</w:t>
            </w:r>
            <w:r>
              <w:rPr>
                <w:rFonts w:hint="default" w:ascii="Times New Roman" w:hAnsi="Times New Roman" w:eastAsia="宋体" w:cs="Times New Roman"/>
                <w:sz w:val="18"/>
                <w:szCs w:val="18"/>
              </w:rPr>
              <w:t>²</w:t>
            </w:r>
          </w:p>
        </w:tc>
        <w:tc>
          <w:tcPr>
            <w:tcW w:w="1373" w:type="dxa"/>
            <w:shd w:val="clear" w:color="auto" w:fill="auto"/>
            <w:vAlign w:val="center"/>
          </w:tcPr>
          <w:p w14:paraId="35DC7DF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p</w:t>
            </w:r>
            <w:r>
              <w:rPr>
                <w:rFonts w:hint="default" w:ascii="Times New Roman" w:hAnsi="Times New Roman" w:eastAsia="宋体" w:cs="Times New Roman"/>
                <w:sz w:val="18"/>
                <w:szCs w:val="18"/>
              </w:rPr>
              <w:t xml:space="preserve"> 值</w:t>
            </w:r>
          </w:p>
        </w:tc>
      </w:tr>
      <w:tr w14:paraId="35DC7DFC">
        <w:tblPrEx>
          <w:tblCellMar>
            <w:top w:w="15" w:type="dxa"/>
            <w:left w:w="15" w:type="dxa"/>
            <w:bottom w:w="15" w:type="dxa"/>
            <w:right w:w="15" w:type="dxa"/>
          </w:tblCellMar>
        </w:tblPrEx>
        <w:trPr>
          <w:tblCellSpacing w:w="15" w:type="dxa"/>
          <w:jc w:val="center"/>
        </w:trPr>
        <w:tc>
          <w:tcPr>
            <w:tcW w:w="2649" w:type="dxa"/>
            <w:tcBorders>
              <w:bottom w:val="single" w:color="auto" w:sz="8" w:space="0"/>
            </w:tcBorders>
            <w:shd w:val="clear" w:color="auto" w:fill="auto"/>
            <w:vAlign w:val="center"/>
          </w:tcPr>
          <w:p w14:paraId="35DC7DF8">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卡方检验 (Chi-square test)</w:t>
            </w:r>
          </w:p>
        </w:tc>
        <w:tc>
          <w:tcPr>
            <w:tcW w:w="1387" w:type="dxa"/>
            <w:tcBorders>
              <w:bottom w:val="single" w:color="auto" w:sz="8" w:space="0"/>
            </w:tcBorders>
            <w:shd w:val="clear" w:color="auto" w:fill="auto"/>
            <w:vAlign w:val="center"/>
          </w:tcPr>
          <w:p w14:paraId="35DC7DF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χ2</w:t>
            </w:r>
            <w:r>
              <w:rPr>
                <w:rFonts w:hint="default" w:ascii="Times New Roman" w:hAnsi="Times New Roman" w:eastAsia="宋体" w:cs="Times New Roman"/>
                <w:sz w:val="18"/>
                <w:szCs w:val="18"/>
              </w:rPr>
              <w:t xml:space="preserve"> 值</w:t>
            </w:r>
          </w:p>
        </w:tc>
        <w:tc>
          <w:tcPr>
            <w:tcW w:w="1387" w:type="dxa"/>
            <w:tcBorders>
              <w:bottom w:val="single" w:color="auto" w:sz="8" w:space="0"/>
            </w:tcBorders>
            <w:shd w:val="clear" w:color="auto" w:fill="auto"/>
            <w:vAlign w:val="center"/>
          </w:tcPr>
          <w:p w14:paraId="35DC7DFA">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73" w:type="dxa"/>
            <w:tcBorders>
              <w:bottom w:val="single" w:color="auto" w:sz="8" w:space="0"/>
            </w:tcBorders>
            <w:shd w:val="clear" w:color="auto" w:fill="auto"/>
            <w:vAlign w:val="center"/>
          </w:tcPr>
          <w:p w14:paraId="35DC7DF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i/>
                <w:iCs/>
                <w:sz w:val="18"/>
                <w:szCs w:val="18"/>
              </w:rPr>
              <w:t>p</w:t>
            </w:r>
            <w:r>
              <w:rPr>
                <w:rFonts w:hint="default" w:ascii="Times New Roman" w:hAnsi="Times New Roman" w:eastAsia="宋体" w:cs="Times New Roman"/>
                <w:sz w:val="18"/>
                <w:szCs w:val="18"/>
              </w:rPr>
              <w:t xml:space="preserve"> 值</w:t>
            </w:r>
          </w:p>
        </w:tc>
      </w:tr>
    </w:tbl>
    <w:p w14:paraId="406BCFDC">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br w:type="page"/>
      </w:r>
    </w:p>
    <w:p w14:paraId="04246E77">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2637E1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251CC7E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1A9BC23E">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Two independent coders screened</w:t>
            </w:r>
          </w:p>
          <w:p w14:paraId="2CB2AA4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the remaining 675 titles to identify articles relevant to the topic of</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interest</w:t>
            </w:r>
          </w:p>
        </w:tc>
      </w:tr>
      <w:tr w14:paraId="5D7B5C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0E0EC8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17E095C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001F74F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统计量</w:t>
            </w:r>
          </w:p>
        </w:tc>
        <w:tc>
          <w:tcPr>
            <w:tcW w:w="1361" w:type="dxa"/>
            <w:tcBorders>
              <w:bottom w:val="single" w:color="auto" w:sz="4" w:space="0"/>
            </w:tcBorders>
            <w:vAlign w:val="center"/>
          </w:tcPr>
          <w:p w14:paraId="4B2AE8E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5428207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rPr>
              <w:t>Cohen’s Kappa κ</w:t>
            </w:r>
          </w:p>
        </w:tc>
        <w:tc>
          <w:tcPr>
            <w:tcW w:w="1361" w:type="dxa"/>
            <w:tcBorders>
              <w:bottom w:val="single" w:color="auto" w:sz="4" w:space="0"/>
            </w:tcBorders>
            <w:vAlign w:val="center"/>
          </w:tcPr>
          <w:p w14:paraId="3563345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0530310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491149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2D568E5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727732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6445456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675</w:t>
            </w:r>
          </w:p>
        </w:tc>
        <w:tc>
          <w:tcPr>
            <w:tcW w:w="1361" w:type="dxa"/>
            <w:tcBorders>
              <w:top w:val="single" w:color="auto" w:sz="4" w:space="0"/>
              <w:bottom w:val="nil"/>
            </w:tcBorders>
            <w:vAlign w:val="center"/>
          </w:tcPr>
          <w:p w14:paraId="1F3D6B90">
            <w:pPr>
              <w:keepNext w:val="0"/>
              <w:keepLines w:val="0"/>
              <w:suppressLineNumbers w:val="0"/>
              <w:spacing w:before="0" w:beforeAutospacing="0" w:after="0" w:afterAutospacing="0" w:line="360" w:lineRule="auto"/>
              <w:ind w:left="0" w:right="0"/>
              <w:jc w:val="center"/>
              <w:rPr>
                <w:rFonts w:hint="eastAsia" w:ascii="宋体" w:hAnsi="宋体" w:eastAsia="宋体" w:cs="宋体"/>
                <w:sz w:val="18"/>
                <w:szCs w:val="18"/>
                <w:lang w:val="en-US" w:eastAsia="zh-CN"/>
                <w14:ligatures w14:val="none"/>
              </w:rPr>
            </w:pPr>
            <w:r>
              <w:rPr>
                <w:rFonts w:hint="eastAsia" w:ascii="Times New Roman" w:hAnsi="Times New Roman" w:eastAsia="宋体" w:cs="Times New Roman"/>
                <w:i/>
                <w:iCs/>
                <w:sz w:val="18"/>
                <w:szCs w:val="18"/>
                <w:lang w:eastAsia="zh-CN"/>
              </w:rPr>
              <w:t>-</w:t>
            </w:r>
          </w:p>
        </w:tc>
        <w:tc>
          <w:tcPr>
            <w:tcW w:w="1361" w:type="dxa"/>
            <w:tcBorders>
              <w:top w:val="single" w:color="auto" w:sz="4" w:space="0"/>
              <w:bottom w:val="nil"/>
            </w:tcBorders>
            <w:vAlign w:val="center"/>
          </w:tcPr>
          <w:p w14:paraId="05EC2B61">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0.65</w:t>
            </w:r>
          </w:p>
        </w:tc>
        <w:tc>
          <w:tcPr>
            <w:tcW w:w="1361" w:type="dxa"/>
            <w:tcBorders>
              <w:top w:val="single" w:color="auto" w:sz="4" w:space="0"/>
              <w:bottom w:val="nil"/>
            </w:tcBorders>
            <w:vAlign w:val="center"/>
          </w:tcPr>
          <w:p w14:paraId="6DA98F1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single" w:color="auto" w:sz="4" w:space="0"/>
              <w:bottom w:val="nil"/>
            </w:tcBorders>
            <w:vAlign w:val="center"/>
          </w:tcPr>
          <w:p w14:paraId="35575406">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9067E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29FEDF8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07405E6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675</w:t>
            </w:r>
          </w:p>
        </w:tc>
        <w:tc>
          <w:tcPr>
            <w:tcW w:w="1361" w:type="dxa"/>
            <w:tcBorders>
              <w:top w:val="nil"/>
              <w:bottom w:val="nil"/>
            </w:tcBorders>
            <w:shd w:val="clear" w:color="auto" w:fill="auto"/>
            <w:vAlign w:val="center"/>
          </w:tcPr>
          <w:p w14:paraId="653488F2">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70264565">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sz w:val="18"/>
                <w:szCs w:val="18"/>
                <w:lang w:val="en-US" w:eastAsia="zh-CN"/>
                <w14:ligatures w14:val="none"/>
              </w:rPr>
              <w:t>0.647</w:t>
            </w:r>
          </w:p>
        </w:tc>
        <w:tc>
          <w:tcPr>
            <w:tcW w:w="1361" w:type="dxa"/>
            <w:tcBorders>
              <w:top w:val="nil"/>
              <w:bottom w:val="nil"/>
            </w:tcBorders>
            <w:shd w:val="clear" w:color="auto" w:fill="auto"/>
            <w:vAlign w:val="center"/>
          </w:tcPr>
          <w:p w14:paraId="744F7BE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22A3126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0C76A8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84EEA9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0C7D078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1E749DA0">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5A0FEAF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7C5FD3F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5B4F9ACC">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015F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65FD5BD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073A68E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361" w:type="dxa"/>
            <w:tcBorders>
              <w:top w:val="nil"/>
              <w:bottom w:val="single" w:color="auto" w:sz="12" w:space="0"/>
            </w:tcBorders>
            <w:vAlign w:val="center"/>
          </w:tcPr>
          <w:p w14:paraId="56FD301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0F14336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09BD2C86">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c>
          <w:tcPr>
            <w:tcW w:w="1361" w:type="dxa"/>
            <w:tcBorders>
              <w:top w:val="nil"/>
              <w:bottom w:val="single" w:color="auto" w:sz="12" w:space="0"/>
            </w:tcBorders>
            <w:vAlign w:val="center"/>
          </w:tcPr>
          <w:p w14:paraId="43E4A66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4ACBDEC7">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460F94CA">
      <w:pPr>
        <w:spacing w:line="300" w:lineRule="auto"/>
        <w:ind w:firstLine="420" w:firstLineChars="200"/>
        <w:contextualSpacing/>
        <w:rPr>
          <w:rFonts w:hint="eastAsia" w:ascii="Times New Roman" w:hAnsi="Times New Roman" w:eastAsia="宋体" w:cs="Times New Roman"/>
          <w:szCs w:val="24"/>
          <w14:ligatures w14:val="none"/>
        </w:rPr>
      </w:pPr>
    </w:p>
    <w:p w14:paraId="4A019CB5">
      <w:pPr>
        <w:spacing w:line="300" w:lineRule="auto"/>
        <w:ind w:firstLine="420" w:firstLineChars="200"/>
        <w:contextualSpacing/>
        <w:rPr>
          <w:rFonts w:hint="eastAsia" w:ascii="Times New Roman" w:hAnsi="Times New Roman" w:eastAsia="宋体" w:cs="Times New Roman"/>
          <w:szCs w:val="24"/>
          <w14:ligatures w14:val="none"/>
        </w:rPr>
      </w:pPr>
    </w:p>
    <w:p w14:paraId="34DA8B1E">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7D0EF1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1B7481E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5B730805">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t</w:t>
            </w:r>
            <w:r>
              <w:rPr>
                <w:rFonts w:hint="eastAsia" w:ascii="Times New Roman" w:hAnsi="Times New Roman" w:eastAsia="宋体" w:cs="Times New Roman"/>
                <w:sz w:val="18"/>
                <w:szCs w:val="18"/>
                <w14:ligatures w14:val="none"/>
              </w:rPr>
              <w:t>he same two coders</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reviewed the remaining 377 full texts of the articles and excluded</w:t>
            </w:r>
          </w:p>
          <w:p w14:paraId="4169EA3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articles not directly relevant to the topic of interest</w:t>
            </w:r>
          </w:p>
        </w:tc>
      </w:tr>
      <w:tr w14:paraId="6B0F9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7044803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68662D5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4E928B4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统计量</w:t>
            </w:r>
          </w:p>
        </w:tc>
        <w:tc>
          <w:tcPr>
            <w:tcW w:w="1361" w:type="dxa"/>
            <w:tcBorders>
              <w:bottom w:val="single" w:color="auto" w:sz="4" w:space="0"/>
            </w:tcBorders>
            <w:vAlign w:val="center"/>
          </w:tcPr>
          <w:p w14:paraId="2DCEDCF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60B38C6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rPr>
              <w:t>Cohen’s Kappa κ</w:t>
            </w:r>
          </w:p>
        </w:tc>
        <w:tc>
          <w:tcPr>
            <w:tcW w:w="1361" w:type="dxa"/>
            <w:tcBorders>
              <w:bottom w:val="single" w:color="auto" w:sz="4" w:space="0"/>
            </w:tcBorders>
            <w:vAlign w:val="center"/>
          </w:tcPr>
          <w:p w14:paraId="4EA5772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66DB0B1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02225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596DFFC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11E2D30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1F33792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377</w:t>
            </w:r>
          </w:p>
        </w:tc>
        <w:tc>
          <w:tcPr>
            <w:tcW w:w="1361" w:type="dxa"/>
            <w:tcBorders>
              <w:top w:val="single" w:color="auto" w:sz="4" w:space="0"/>
              <w:bottom w:val="nil"/>
            </w:tcBorders>
            <w:vAlign w:val="center"/>
          </w:tcPr>
          <w:p w14:paraId="62F35F17">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w:t>
            </w:r>
          </w:p>
        </w:tc>
        <w:tc>
          <w:tcPr>
            <w:tcW w:w="1361" w:type="dxa"/>
            <w:tcBorders>
              <w:top w:val="single" w:color="auto" w:sz="4" w:space="0"/>
              <w:bottom w:val="nil"/>
            </w:tcBorders>
            <w:vAlign w:val="center"/>
          </w:tcPr>
          <w:p w14:paraId="487F7140">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0.78</w:t>
            </w:r>
          </w:p>
        </w:tc>
        <w:tc>
          <w:tcPr>
            <w:tcW w:w="1361" w:type="dxa"/>
            <w:tcBorders>
              <w:top w:val="single" w:color="auto" w:sz="4" w:space="0"/>
              <w:bottom w:val="nil"/>
            </w:tcBorders>
            <w:vAlign w:val="center"/>
          </w:tcPr>
          <w:p w14:paraId="117BA21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single" w:color="auto" w:sz="4" w:space="0"/>
              <w:bottom w:val="nil"/>
            </w:tcBorders>
            <w:vAlign w:val="center"/>
          </w:tcPr>
          <w:p w14:paraId="6E7F7AA5">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B9FD2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2AC6520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78D03E3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372</w:t>
            </w:r>
          </w:p>
        </w:tc>
        <w:tc>
          <w:tcPr>
            <w:tcW w:w="1361" w:type="dxa"/>
            <w:tcBorders>
              <w:top w:val="nil"/>
              <w:bottom w:val="nil"/>
            </w:tcBorders>
            <w:shd w:val="clear" w:color="auto" w:fill="auto"/>
            <w:vAlign w:val="center"/>
          </w:tcPr>
          <w:p w14:paraId="4B05E8FE">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240B54CC">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sz w:val="18"/>
                <w:szCs w:val="18"/>
                <w:lang w:val="en-US" w:eastAsia="zh-CN"/>
                <w14:ligatures w14:val="none"/>
              </w:rPr>
              <w:t>0.772</w:t>
            </w:r>
          </w:p>
        </w:tc>
        <w:tc>
          <w:tcPr>
            <w:tcW w:w="1361" w:type="dxa"/>
            <w:tcBorders>
              <w:top w:val="nil"/>
              <w:bottom w:val="nil"/>
            </w:tcBorders>
            <w:shd w:val="clear" w:color="auto" w:fill="auto"/>
            <w:vAlign w:val="center"/>
          </w:tcPr>
          <w:p w14:paraId="67D9F03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7B7A76C">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157A5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703CA70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765A602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1.33%</w:t>
            </w:r>
          </w:p>
        </w:tc>
        <w:tc>
          <w:tcPr>
            <w:tcW w:w="1361" w:type="dxa"/>
            <w:tcBorders>
              <w:top w:val="nil"/>
              <w:bottom w:val="nil"/>
            </w:tcBorders>
            <w:vAlign w:val="center"/>
          </w:tcPr>
          <w:p w14:paraId="30D3D390">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15A8938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1.03%</w:t>
            </w:r>
          </w:p>
        </w:tc>
        <w:tc>
          <w:tcPr>
            <w:tcW w:w="1361" w:type="dxa"/>
            <w:tcBorders>
              <w:top w:val="nil"/>
              <w:bottom w:val="nil"/>
            </w:tcBorders>
            <w:vAlign w:val="center"/>
          </w:tcPr>
          <w:p w14:paraId="4114165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58978948">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0A20EE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065A5A1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596C052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p>
        </w:tc>
        <w:tc>
          <w:tcPr>
            <w:tcW w:w="1361" w:type="dxa"/>
            <w:tcBorders>
              <w:top w:val="nil"/>
              <w:bottom w:val="single" w:color="auto" w:sz="12" w:space="0"/>
            </w:tcBorders>
            <w:vAlign w:val="center"/>
          </w:tcPr>
          <w:p w14:paraId="2529128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7E47B62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p>
        </w:tc>
        <w:tc>
          <w:tcPr>
            <w:tcW w:w="1361" w:type="dxa"/>
            <w:tcBorders>
              <w:top w:val="nil"/>
              <w:bottom w:val="single" w:color="auto" w:sz="12" w:space="0"/>
            </w:tcBorders>
            <w:vAlign w:val="center"/>
          </w:tcPr>
          <w:p w14:paraId="2F10EFB1">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c>
          <w:tcPr>
            <w:tcW w:w="1361" w:type="dxa"/>
            <w:tcBorders>
              <w:top w:val="nil"/>
              <w:bottom w:val="single" w:color="auto" w:sz="12" w:space="0"/>
            </w:tcBorders>
            <w:vAlign w:val="center"/>
          </w:tcPr>
          <w:p w14:paraId="6235F6C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6D87F744">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5933CF27">
      <w:pP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br w:type="page"/>
      </w:r>
    </w:p>
    <w:p w14:paraId="71D5AFC4">
      <w:pPr>
        <w:spacing w:line="300" w:lineRule="auto"/>
        <w:ind w:firstLine="360"/>
        <w:rPr>
          <w:rFonts w:hint="eastAsia" w:ascii="Times New Roman" w:hAnsi="Times New Roman" w:eastAsia="宋体" w:cs="Times New Roman"/>
          <w:sz w:val="18"/>
          <w:szCs w:val="18"/>
          <w14:ligatures w14:val="none"/>
        </w:rPr>
      </w:pPr>
    </w:p>
    <w:p w14:paraId="111C6246">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29AD6A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52C347F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4584B27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Four independent coders rated each headline</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14:ligatures w14:val="none"/>
              </w:rPr>
              <w:t xml:space="preserve">based on how it framed being alone: neutral , negative , positive, or both negative and positive </w:t>
            </w:r>
          </w:p>
        </w:tc>
      </w:tr>
      <w:tr w14:paraId="776E61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2278767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49E8737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6566B5C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统计量</w:t>
            </w:r>
          </w:p>
        </w:tc>
        <w:tc>
          <w:tcPr>
            <w:tcW w:w="1361" w:type="dxa"/>
            <w:tcBorders>
              <w:bottom w:val="single" w:color="auto" w:sz="4" w:space="0"/>
            </w:tcBorders>
            <w:vAlign w:val="center"/>
          </w:tcPr>
          <w:p w14:paraId="3647B15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4FC60A2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Kappa κ</w:t>
            </w:r>
          </w:p>
        </w:tc>
        <w:tc>
          <w:tcPr>
            <w:tcW w:w="1361" w:type="dxa"/>
            <w:tcBorders>
              <w:bottom w:val="single" w:color="auto" w:sz="4" w:space="0"/>
            </w:tcBorders>
            <w:vAlign w:val="center"/>
          </w:tcPr>
          <w:p w14:paraId="699905A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4A3BA20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3C2D98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75F8B20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2E4E3B2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0A643D2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361922E5">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w:t>
            </w:r>
          </w:p>
        </w:tc>
        <w:tc>
          <w:tcPr>
            <w:tcW w:w="1361" w:type="dxa"/>
            <w:tcBorders>
              <w:top w:val="single" w:color="auto" w:sz="4" w:space="0"/>
              <w:bottom w:val="nil"/>
            </w:tcBorders>
            <w:vAlign w:val="center"/>
          </w:tcPr>
          <w:p w14:paraId="3DC8125A">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0.82</w:t>
            </w:r>
          </w:p>
        </w:tc>
        <w:tc>
          <w:tcPr>
            <w:tcW w:w="1361" w:type="dxa"/>
            <w:tcBorders>
              <w:top w:val="single" w:color="auto" w:sz="4" w:space="0"/>
              <w:bottom w:val="nil"/>
            </w:tcBorders>
            <w:vAlign w:val="center"/>
          </w:tcPr>
          <w:p w14:paraId="50E5D84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single" w:color="auto" w:sz="4" w:space="0"/>
              <w:bottom w:val="nil"/>
            </w:tcBorders>
            <w:vAlign w:val="center"/>
          </w:tcPr>
          <w:p w14:paraId="72A995B0">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077DF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5BC1636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1D0468F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79519E6C">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4BEAD6E2">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0.827957</w:t>
            </w:r>
          </w:p>
        </w:tc>
        <w:tc>
          <w:tcPr>
            <w:tcW w:w="1361" w:type="dxa"/>
            <w:tcBorders>
              <w:top w:val="nil"/>
              <w:bottom w:val="nil"/>
            </w:tcBorders>
            <w:shd w:val="clear" w:color="auto" w:fill="auto"/>
            <w:vAlign w:val="center"/>
          </w:tcPr>
          <w:p w14:paraId="38254D4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w:t>
            </w:r>
          </w:p>
        </w:tc>
        <w:tc>
          <w:tcPr>
            <w:tcW w:w="1361" w:type="dxa"/>
            <w:tcBorders>
              <w:top w:val="nil"/>
              <w:bottom w:val="nil"/>
            </w:tcBorders>
            <w:vAlign w:val="center"/>
          </w:tcPr>
          <w:p w14:paraId="787BEBFC">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CF6D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71A03CA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60F6494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1D8177C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1CB6EA0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0157902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center"/>
          </w:tcPr>
          <w:p w14:paraId="6773D21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E0CE9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5B0C140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373B23E6">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宋体" w:hAnsi="宋体" w:eastAsia="宋体" w:cs="宋体"/>
                <w:kern w:val="2"/>
                <w:sz w:val="18"/>
                <w:szCs w:val="18"/>
                <w:lang w:val="en-US" w:eastAsia="zh-CN" w:bidi="ar"/>
                <w14:ligatures w14:val="standardContextual"/>
              </w:rPr>
              <w:t>完全一致</w:t>
            </w:r>
          </w:p>
        </w:tc>
        <w:tc>
          <w:tcPr>
            <w:tcW w:w="1361" w:type="dxa"/>
            <w:tcBorders>
              <w:top w:val="nil"/>
              <w:bottom w:val="single" w:color="auto" w:sz="12" w:space="0"/>
            </w:tcBorders>
            <w:vAlign w:val="center"/>
          </w:tcPr>
          <w:p w14:paraId="726A5B51">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17A9E0A3">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宋体" w:hAnsi="宋体" w:eastAsia="宋体" w:cs="宋体"/>
                <w:kern w:val="2"/>
                <w:sz w:val="18"/>
                <w:szCs w:val="18"/>
                <w:lang w:val="en-US" w:eastAsia="zh-CN" w:bidi="ar"/>
                <w14:ligatures w14:val="standardContextual"/>
              </w:rPr>
              <w:t>因舍入导致的偏差</w:t>
            </w:r>
          </w:p>
        </w:tc>
        <w:tc>
          <w:tcPr>
            <w:tcW w:w="1361" w:type="dxa"/>
            <w:tcBorders>
              <w:top w:val="nil"/>
              <w:bottom w:val="single" w:color="auto" w:sz="12" w:space="0"/>
            </w:tcBorders>
            <w:vAlign w:val="center"/>
          </w:tcPr>
          <w:p w14:paraId="22940E5A">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c>
          <w:tcPr>
            <w:tcW w:w="1361" w:type="dxa"/>
            <w:tcBorders>
              <w:top w:val="nil"/>
              <w:bottom w:val="single" w:color="auto" w:sz="12" w:space="0"/>
            </w:tcBorders>
            <w:vAlign w:val="center"/>
          </w:tcPr>
          <w:p w14:paraId="75AD69B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1A061C7C">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6C370F96">
      <w:pPr>
        <w:spacing w:line="300" w:lineRule="auto"/>
        <w:ind w:firstLine="420" w:firstLineChars="200"/>
        <w:contextualSpacing/>
        <w:rPr>
          <w:rFonts w:hint="eastAsia" w:ascii="Times New Roman" w:hAnsi="Times New Roman" w:eastAsia="宋体" w:cs="Times New Roman"/>
          <w:szCs w:val="24"/>
          <w14:ligatures w14:val="none"/>
        </w:rPr>
      </w:pPr>
    </w:p>
    <w:p w14:paraId="35DC7FFC">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35DC80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134" w:type="dxa"/>
            <w:vMerge w:val="restart"/>
            <w:tcBorders>
              <w:top w:val="single" w:color="auto" w:sz="12" w:space="0"/>
            </w:tcBorders>
            <w:vAlign w:val="center"/>
          </w:tcPr>
          <w:p w14:paraId="35DC7FF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00B827B9">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U.S. newspaper headlines were 10 times more</w:t>
            </w:r>
          </w:p>
          <w:p w14:paraId="35DC7FF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likely to frame being alone negatively than positively</w:t>
            </w:r>
          </w:p>
        </w:tc>
      </w:tr>
      <w:tr w14:paraId="35DC80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5DC800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800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1C8C16B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7EC58DC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3C344DF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20E86BD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61" w:type="dxa"/>
            <w:tcBorders>
              <w:bottom w:val="single" w:color="auto" w:sz="4" w:space="0"/>
            </w:tcBorders>
            <w:vAlign w:val="center"/>
          </w:tcPr>
          <w:p w14:paraId="35DC800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35DC80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800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DC800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35DC800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35DC800E">
            <w:pPr>
              <w:keepNext w:val="0"/>
              <w:keepLines w:val="0"/>
              <w:suppressLineNumbers w:val="0"/>
              <w:spacing w:before="0" w:beforeAutospacing="0" w:after="0" w:afterAutospacing="0" w:line="360" w:lineRule="auto"/>
              <w:ind w:left="0" w:right="0"/>
              <w:jc w:val="center"/>
              <w:rPr>
                <w:rFonts w:hint="eastAsia"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63.75</w:t>
            </w:r>
          </w:p>
        </w:tc>
        <w:tc>
          <w:tcPr>
            <w:tcW w:w="1361" w:type="dxa"/>
            <w:tcBorders>
              <w:top w:val="single" w:color="auto" w:sz="4" w:space="0"/>
              <w:bottom w:val="nil"/>
            </w:tcBorders>
            <w:vAlign w:val="center"/>
          </w:tcPr>
          <w:p w14:paraId="35DC800F">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0.83</w:t>
            </w:r>
          </w:p>
        </w:tc>
        <w:tc>
          <w:tcPr>
            <w:tcW w:w="1361" w:type="dxa"/>
            <w:tcBorders>
              <w:top w:val="single" w:color="auto" w:sz="4" w:space="0"/>
              <w:bottom w:val="nil"/>
            </w:tcBorders>
            <w:vAlign w:val="center"/>
          </w:tcPr>
          <w:p w14:paraId="35DC801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 &lt; .001</w:t>
            </w:r>
          </w:p>
        </w:tc>
        <w:tc>
          <w:tcPr>
            <w:tcW w:w="1361" w:type="dxa"/>
            <w:tcBorders>
              <w:top w:val="single" w:color="auto" w:sz="4" w:space="0"/>
              <w:bottom w:val="nil"/>
            </w:tcBorders>
            <w:vAlign w:val="center"/>
          </w:tcPr>
          <w:p w14:paraId="35DC8011">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5DC8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1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35DC801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35DC8016">
            <w:pPr>
              <w:keepNext w:val="0"/>
              <w:keepLines w:val="0"/>
              <w:suppressLineNumbers w:val="0"/>
              <w:spacing w:before="0" w:beforeAutospacing="0" w:after="0" w:afterAutospacing="0" w:line="360" w:lineRule="auto"/>
              <w:ind w:left="0" w:right="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sz w:val="18"/>
                <w:szCs w:val="18"/>
                <w:lang w:val="en-US" w:eastAsia="zh-CN"/>
                <w14:ligatures w14:val="none"/>
              </w:rPr>
              <w:t>63.753</w:t>
            </w:r>
          </w:p>
        </w:tc>
        <w:tc>
          <w:tcPr>
            <w:tcW w:w="1361" w:type="dxa"/>
            <w:tcBorders>
              <w:top w:val="nil"/>
              <w:bottom w:val="nil"/>
            </w:tcBorders>
            <w:shd w:val="clear" w:color="auto" w:fill="auto"/>
            <w:vAlign w:val="center"/>
          </w:tcPr>
          <w:p w14:paraId="35DC8017">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sz w:val="18"/>
                <w:szCs w:val="18"/>
                <w:lang w:val="en-US" w:eastAsia="zh-CN"/>
                <w14:ligatures w14:val="none"/>
              </w:rPr>
              <w:t>0.827957</w:t>
            </w:r>
          </w:p>
        </w:tc>
        <w:tc>
          <w:tcPr>
            <w:tcW w:w="1361" w:type="dxa"/>
            <w:tcBorders>
              <w:top w:val="nil"/>
              <w:bottom w:val="nil"/>
            </w:tcBorders>
            <w:shd w:val="clear" w:color="auto" w:fill="auto"/>
            <w:vAlign w:val="center"/>
          </w:tcPr>
          <w:p w14:paraId="35DC801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1.411e-15</w:t>
            </w:r>
          </w:p>
        </w:tc>
        <w:tc>
          <w:tcPr>
            <w:tcW w:w="1361" w:type="dxa"/>
            <w:tcBorders>
              <w:top w:val="nil"/>
              <w:bottom w:val="nil"/>
            </w:tcBorders>
            <w:vAlign w:val="center"/>
          </w:tcPr>
          <w:p w14:paraId="35DC8019">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5DC8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1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35DC801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shd w:val="clear" w:color="auto" w:fill="auto"/>
            <w:vAlign w:val="center"/>
          </w:tcPr>
          <w:p w14:paraId="35DC801E">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5DC801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5DC802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5DC802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5DC80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802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35DC802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361" w:type="dxa"/>
            <w:tcBorders>
              <w:top w:val="nil"/>
              <w:bottom w:val="single" w:color="auto" w:sz="12" w:space="0"/>
            </w:tcBorders>
            <w:shd w:val="clear" w:color="auto" w:fill="auto"/>
            <w:vAlign w:val="center"/>
          </w:tcPr>
          <w:p w14:paraId="35DC802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35DC802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35DC8028">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35DC802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2B8296DE">
      <w:pPr>
        <w:spacing w:line="300" w:lineRule="auto"/>
        <w:ind w:firstLine="360"/>
        <w:rPr>
          <w:rFonts w:ascii="Times New Roman" w:hAnsi="Times New Roman" w:eastAsia="黑体" w:cs="Times New Roman"/>
          <w:b/>
          <w:bCs/>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0382B9F6">
      <w:pPr>
        <w:spacing w:line="300" w:lineRule="auto"/>
        <w:jc w:val="center"/>
        <w:rPr>
          <w:rFonts w:ascii="Times New Roman" w:hAnsi="Times New Roman" w:eastAsia="黑体" w:cs="Times New Roman"/>
          <w:b/>
          <w:bCs/>
          <w:sz w:val="18"/>
          <w:szCs w:val="18"/>
          <w14:ligatures w14:val="none"/>
        </w:rPr>
      </w:pPr>
    </w:p>
    <w:p w14:paraId="1289CC7B">
      <w:pPr>
        <w:spacing w:line="300" w:lineRule="auto"/>
        <w:jc w:val="center"/>
        <w:rPr>
          <w:rFonts w:ascii="Times New Roman" w:hAnsi="Times New Roman" w:eastAsia="黑体" w:cs="Times New Roman"/>
          <w:b/>
          <w:bCs/>
          <w:sz w:val="18"/>
          <w:szCs w:val="18"/>
          <w14:ligatures w14:val="none"/>
        </w:rPr>
      </w:pPr>
    </w:p>
    <w:p w14:paraId="1AC2D9EF">
      <w:pPr>
        <w:spacing w:line="300" w:lineRule="auto"/>
        <w:jc w:val="center"/>
        <w:rPr>
          <w:rFonts w:ascii="Times New Roman" w:hAnsi="Times New Roman" w:eastAsia="黑体" w:cs="Times New Roman"/>
          <w:b/>
          <w:bCs/>
          <w:sz w:val="18"/>
          <w:szCs w:val="18"/>
          <w14:ligatures w14:val="none"/>
        </w:rPr>
      </w:pPr>
    </w:p>
    <w:p w14:paraId="1559296D">
      <w:pPr>
        <w:spacing w:line="300" w:lineRule="auto"/>
        <w:jc w:val="center"/>
        <w:rPr>
          <w:rFonts w:ascii="Times New Roman" w:hAnsi="Times New Roman" w:eastAsia="黑体" w:cs="Times New Roman"/>
          <w:b/>
          <w:bCs/>
          <w:sz w:val="18"/>
          <w:szCs w:val="18"/>
          <w14:ligatures w14:val="none"/>
        </w:rPr>
      </w:pPr>
    </w:p>
    <w:p w14:paraId="05CDD786">
      <w:pPr>
        <w:spacing w:line="300" w:lineRule="auto"/>
        <w:jc w:val="center"/>
        <w:rPr>
          <w:rFonts w:ascii="Times New Roman" w:hAnsi="Times New Roman" w:eastAsia="黑体" w:cs="Times New Roman"/>
          <w:b/>
          <w:bCs/>
          <w:sz w:val="18"/>
          <w:szCs w:val="18"/>
          <w14:ligatures w14:val="none"/>
        </w:rPr>
      </w:pPr>
    </w:p>
    <w:p w14:paraId="3F7690E9">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38C7CC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4CD6866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44DC07E6">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Negative headlines also appeared nearly</w:t>
            </w:r>
          </w:p>
          <w:p w14:paraId="07547EF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twice as frequently as neutral headlines</w:t>
            </w:r>
          </w:p>
        </w:tc>
      </w:tr>
      <w:tr w14:paraId="43A18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2D6AE94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000A189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6290BB9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0CA6004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0D50411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7B82423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61" w:type="dxa"/>
            <w:tcBorders>
              <w:bottom w:val="single" w:color="auto" w:sz="4" w:space="0"/>
            </w:tcBorders>
            <w:vAlign w:val="center"/>
          </w:tcPr>
          <w:p w14:paraId="301C906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5A1AB5E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3838B8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59E1DD5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79BA528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596E64F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00DEDDDD">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13.03</w:t>
            </w:r>
          </w:p>
        </w:tc>
        <w:tc>
          <w:tcPr>
            <w:tcW w:w="1361" w:type="dxa"/>
            <w:tcBorders>
              <w:top w:val="single" w:color="auto" w:sz="4" w:space="0"/>
              <w:bottom w:val="nil"/>
            </w:tcBorders>
            <w:shd w:val="clear" w:color="auto" w:fill="auto"/>
            <w:vAlign w:val="center"/>
          </w:tcPr>
          <w:p w14:paraId="5F06DC6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0.32</w:t>
            </w:r>
          </w:p>
        </w:tc>
        <w:tc>
          <w:tcPr>
            <w:tcW w:w="1361" w:type="dxa"/>
            <w:tcBorders>
              <w:top w:val="single" w:color="auto" w:sz="4" w:space="0"/>
              <w:bottom w:val="nil"/>
            </w:tcBorders>
            <w:vAlign w:val="center"/>
          </w:tcPr>
          <w:p w14:paraId="47FDF4C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 &lt; .001</w:t>
            </w:r>
          </w:p>
        </w:tc>
        <w:tc>
          <w:tcPr>
            <w:tcW w:w="1361" w:type="dxa"/>
            <w:tcBorders>
              <w:top w:val="single" w:color="auto" w:sz="4" w:space="0"/>
              <w:bottom w:val="nil"/>
            </w:tcBorders>
            <w:vAlign w:val="center"/>
          </w:tcPr>
          <w:p w14:paraId="5732C32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F5B6E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62BC28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281CC36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2B4D3AA6">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13.031</w:t>
            </w:r>
          </w:p>
        </w:tc>
        <w:tc>
          <w:tcPr>
            <w:tcW w:w="1361" w:type="dxa"/>
            <w:tcBorders>
              <w:top w:val="nil"/>
              <w:bottom w:val="nil"/>
            </w:tcBorders>
            <w:shd w:val="clear" w:color="auto" w:fill="auto"/>
            <w:vAlign w:val="center"/>
          </w:tcPr>
          <w:p w14:paraId="6814CA8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0.3178295</w:t>
            </w:r>
          </w:p>
        </w:tc>
        <w:tc>
          <w:tcPr>
            <w:tcW w:w="1361" w:type="dxa"/>
            <w:tcBorders>
              <w:top w:val="nil"/>
              <w:bottom w:val="nil"/>
            </w:tcBorders>
            <w:shd w:val="clear" w:color="auto" w:fill="auto"/>
            <w:vAlign w:val="center"/>
          </w:tcPr>
          <w:p w14:paraId="1E3FF9C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p = 0.0003064 </w:t>
            </w:r>
          </w:p>
        </w:tc>
        <w:tc>
          <w:tcPr>
            <w:tcW w:w="1361" w:type="dxa"/>
            <w:tcBorders>
              <w:top w:val="nil"/>
              <w:bottom w:val="nil"/>
            </w:tcBorders>
            <w:vAlign w:val="center"/>
          </w:tcPr>
          <w:p w14:paraId="145AAB9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E2303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5768653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37277E7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4DB937B8">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9F6C20C">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6E1F8FF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64E0091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129721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29BACBD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777D3AE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67A33534">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3605814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4D9CAAA8">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4BDB792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250F73F2">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49F5D032">
      <w:pPr>
        <w:spacing w:line="300" w:lineRule="auto"/>
        <w:ind w:firstLine="360"/>
        <w:rPr>
          <w:rFonts w:hint="eastAsia" w:ascii="Times New Roman" w:hAnsi="Times New Roman" w:eastAsia="宋体" w:cs="Times New Roman"/>
          <w:sz w:val="18"/>
          <w:szCs w:val="18"/>
          <w14:ligatures w14:val="none"/>
        </w:rPr>
      </w:pPr>
    </w:p>
    <w:p w14:paraId="49D85BD2">
      <w:pPr>
        <w:spacing w:line="300" w:lineRule="auto"/>
        <w:ind w:firstLine="360"/>
        <w:rPr>
          <w:rFonts w:hint="eastAsia" w:ascii="Times New Roman" w:hAnsi="Times New Roman" w:eastAsia="宋体" w:cs="Times New Roman"/>
          <w:sz w:val="18"/>
          <w:szCs w:val="18"/>
          <w14:ligatures w14:val="none"/>
        </w:rPr>
      </w:pPr>
    </w:p>
    <w:p w14:paraId="02F5911A">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6CC5BB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3E30421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2938A61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Analyses of the full text of each article revealed a similar</w:t>
            </w:r>
          </w:p>
          <w:p w14:paraId="4615539D">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pattern of results; U.S. news articles were five times more likely to</w:t>
            </w:r>
          </w:p>
          <w:p w14:paraId="5666FC8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mention the risks of being alone than its benefits;</w:t>
            </w:r>
          </w:p>
        </w:tc>
      </w:tr>
      <w:tr w14:paraId="581CE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6960CFA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34CAE75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7BC21A2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2C553E7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7345AA7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09C1DF8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61" w:type="dxa"/>
            <w:tcBorders>
              <w:bottom w:val="single" w:color="auto" w:sz="4" w:space="0"/>
            </w:tcBorders>
            <w:vAlign w:val="center"/>
          </w:tcPr>
          <w:p w14:paraId="6108A32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25D35AD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2BDAC0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705CF38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0C93855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291DCB8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05CAADC0">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41.78</w:t>
            </w:r>
          </w:p>
        </w:tc>
        <w:tc>
          <w:tcPr>
            <w:tcW w:w="1361" w:type="dxa"/>
            <w:tcBorders>
              <w:top w:val="single" w:color="auto" w:sz="4" w:space="0"/>
              <w:bottom w:val="nil"/>
            </w:tcBorders>
            <w:shd w:val="clear" w:color="auto" w:fill="auto"/>
            <w:vAlign w:val="center"/>
          </w:tcPr>
          <w:p w14:paraId="6BDA04E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0.66</w:t>
            </w:r>
          </w:p>
        </w:tc>
        <w:tc>
          <w:tcPr>
            <w:tcW w:w="1361" w:type="dxa"/>
            <w:tcBorders>
              <w:top w:val="single" w:color="auto" w:sz="4" w:space="0"/>
              <w:bottom w:val="nil"/>
            </w:tcBorders>
            <w:vAlign w:val="center"/>
          </w:tcPr>
          <w:p w14:paraId="57FD468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 &lt; .001</w:t>
            </w:r>
          </w:p>
        </w:tc>
        <w:tc>
          <w:tcPr>
            <w:tcW w:w="1361" w:type="dxa"/>
            <w:tcBorders>
              <w:top w:val="single" w:color="auto" w:sz="4" w:space="0"/>
              <w:bottom w:val="nil"/>
            </w:tcBorders>
            <w:vAlign w:val="center"/>
          </w:tcPr>
          <w:p w14:paraId="090BBDC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8A7AE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F5D946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5AC3E03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18DE1876">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41.779</w:t>
            </w:r>
          </w:p>
        </w:tc>
        <w:tc>
          <w:tcPr>
            <w:tcW w:w="1361" w:type="dxa"/>
            <w:tcBorders>
              <w:top w:val="nil"/>
              <w:bottom w:val="nil"/>
            </w:tcBorders>
            <w:shd w:val="clear" w:color="auto" w:fill="auto"/>
            <w:vAlign w:val="center"/>
          </w:tcPr>
          <w:p w14:paraId="6EBE58AE">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0.6631579</w:t>
            </w:r>
          </w:p>
        </w:tc>
        <w:tc>
          <w:tcPr>
            <w:tcW w:w="1361" w:type="dxa"/>
            <w:tcBorders>
              <w:top w:val="nil"/>
              <w:bottom w:val="nil"/>
            </w:tcBorders>
            <w:shd w:val="clear" w:color="auto" w:fill="auto"/>
            <w:vAlign w:val="center"/>
          </w:tcPr>
          <w:p w14:paraId="3DB9716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1.022e-10 </w:t>
            </w:r>
          </w:p>
        </w:tc>
        <w:tc>
          <w:tcPr>
            <w:tcW w:w="1361" w:type="dxa"/>
            <w:tcBorders>
              <w:top w:val="nil"/>
              <w:bottom w:val="nil"/>
            </w:tcBorders>
            <w:vAlign w:val="center"/>
          </w:tcPr>
          <w:p w14:paraId="1D4843E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4BDD78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E0862A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0FD08D6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065A4E39">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shd w:val="clear" w:color="auto" w:fill="auto"/>
            <w:vAlign w:val="center"/>
          </w:tcPr>
          <w:p w14:paraId="66EAEA5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89C94E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7A261FE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082B8F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7B2B2CB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466E9B0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0BB893B8">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shd w:val="clear" w:color="auto" w:fill="auto"/>
            <w:vAlign w:val="center"/>
          </w:tcPr>
          <w:p w14:paraId="1F30608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297E6FD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216BD24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2E8D47B2">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314EEA22">
      <w:pPr>
        <w:spacing w:line="300" w:lineRule="auto"/>
        <w:ind w:firstLine="360"/>
        <w:rPr>
          <w:rFonts w:hint="eastAsia" w:ascii="Times New Roman" w:hAnsi="Times New Roman" w:eastAsia="宋体" w:cs="Times New Roman"/>
          <w:sz w:val="18"/>
          <w:szCs w:val="18"/>
          <w14:ligatures w14:val="none"/>
        </w:rPr>
      </w:pPr>
    </w:p>
    <w:p w14:paraId="7FC3D212">
      <w:pPr>
        <w:spacing w:line="300" w:lineRule="auto"/>
        <w:ind w:firstLine="360"/>
        <w:rPr>
          <w:rFonts w:hint="eastAsia" w:ascii="Times New Roman" w:hAnsi="Times New Roman" w:eastAsia="宋体" w:cs="Times New Roman"/>
          <w:sz w:val="18"/>
          <w:szCs w:val="18"/>
          <w14:ligatures w14:val="none"/>
        </w:rPr>
      </w:pPr>
    </w:p>
    <w:p w14:paraId="35DC802D">
      <w:pPr>
        <w:spacing w:line="300" w:lineRule="auto"/>
        <w:rPr>
          <w:rFonts w:ascii="Times New Roman" w:hAnsi="Times New Roman" w:eastAsia="宋体" w:cs="Times New Roman"/>
          <w:b/>
          <w:bCs/>
          <w:sz w:val="22"/>
          <w14:ligatures w14:val="none"/>
        </w:rPr>
      </w:pPr>
    </w:p>
    <w:p w14:paraId="75BA2F23">
      <w:pPr>
        <w:spacing w:line="300" w:lineRule="auto"/>
        <w:rPr>
          <w:rFonts w:ascii="Times New Roman" w:hAnsi="Times New Roman" w:eastAsia="宋体" w:cs="Times New Roman"/>
          <w:b/>
          <w:bCs/>
          <w:sz w:val="22"/>
          <w14:ligatures w14:val="none"/>
        </w:rPr>
      </w:pPr>
    </w:p>
    <w:p w14:paraId="2C894AF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25AA97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0CA3F1D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32658DE6">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Further, they were over seven times more likely to</w:t>
            </w:r>
          </w:p>
          <w:p w14:paraId="64AE25B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mention the risks of being alone than make neutral statements about</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being alone</w:t>
            </w:r>
          </w:p>
        </w:tc>
      </w:tr>
      <w:tr w14:paraId="754CC4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F43690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3170AC0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2FD5381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423DE8F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61E20F6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6607B3D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61" w:type="dxa"/>
            <w:tcBorders>
              <w:bottom w:val="single" w:color="auto" w:sz="4" w:space="0"/>
            </w:tcBorders>
            <w:vAlign w:val="center"/>
          </w:tcPr>
          <w:p w14:paraId="691D733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4217EA8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其它指标</w:t>
            </w:r>
          </w:p>
        </w:tc>
      </w:tr>
      <w:tr w14:paraId="5E6B53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6CE4EC6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12E2D14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4592CCE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55D0AD37">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49.33</w:t>
            </w:r>
          </w:p>
        </w:tc>
        <w:tc>
          <w:tcPr>
            <w:tcW w:w="1361" w:type="dxa"/>
            <w:tcBorders>
              <w:top w:val="single" w:color="auto" w:sz="4" w:space="0"/>
              <w:bottom w:val="nil"/>
            </w:tcBorders>
            <w:vAlign w:val="center"/>
          </w:tcPr>
          <w:p w14:paraId="07AD1F16">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 &lt; .001</w:t>
            </w:r>
          </w:p>
        </w:tc>
        <w:tc>
          <w:tcPr>
            <w:tcW w:w="1361" w:type="dxa"/>
            <w:tcBorders>
              <w:top w:val="single" w:color="auto" w:sz="4" w:space="0"/>
              <w:bottom w:val="nil"/>
            </w:tcBorders>
            <w:vAlign w:val="center"/>
          </w:tcPr>
          <w:p w14:paraId="3D53423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0.74</w:t>
            </w:r>
          </w:p>
        </w:tc>
        <w:tc>
          <w:tcPr>
            <w:tcW w:w="1361" w:type="dxa"/>
            <w:tcBorders>
              <w:top w:val="single" w:color="auto" w:sz="4" w:space="0"/>
              <w:bottom w:val="nil"/>
            </w:tcBorders>
            <w:vAlign w:val="center"/>
          </w:tcPr>
          <w:p w14:paraId="63C487B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7763AE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301994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10F5017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31574107">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49.33</w:t>
            </w:r>
          </w:p>
        </w:tc>
        <w:tc>
          <w:tcPr>
            <w:tcW w:w="1361" w:type="dxa"/>
            <w:tcBorders>
              <w:top w:val="nil"/>
              <w:bottom w:val="nil"/>
            </w:tcBorders>
            <w:shd w:val="clear" w:color="auto" w:fill="auto"/>
            <w:vAlign w:val="center"/>
          </w:tcPr>
          <w:p w14:paraId="36428532">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2.164e-12</w:t>
            </w:r>
          </w:p>
        </w:tc>
        <w:tc>
          <w:tcPr>
            <w:tcW w:w="1361" w:type="dxa"/>
            <w:tcBorders>
              <w:top w:val="nil"/>
              <w:bottom w:val="nil"/>
            </w:tcBorders>
            <w:shd w:val="clear" w:color="auto" w:fill="auto"/>
            <w:vAlign w:val="center"/>
          </w:tcPr>
          <w:p w14:paraId="3CABCB9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0.7362637</w:t>
            </w:r>
          </w:p>
        </w:tc>
        <w:tc>
          <w:tcPr>
            <w:tcW w:w="1361" w:type="dxa"/>
            <w:tcBorders>
              <w:top w:val="nil"/>
              <w:bottom w:val="nil"/>
            </w:tcBorders>
            <w:vAlign w:val="center"/>
          </w:tcPr>
          <w:p w14:paraId="4D45995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250E3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6BB92B4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6C2285A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118559B">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2FC656DA">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0EBA333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6AD5E17E">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r>
      <w:tr w14:paraId="5036B2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6C3C8F1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2A0B7A6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037817A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0BEABCA8">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55E56364">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1B4F9DE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7CCC6CC4">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0D6E9BBB">
      <w:pPr>
        <w:spacing w:line="300" w:lineRule="auto"/>
        <w:rPr>
          <w:rFonts w:ascii="Times New Roman" w:hAnsi="Times New Roman" w:eastAsia="宋体" w:cs="Times New Roman"/>
          <w:b/>
          <w:bCs/>
          <w:sz w:val="22"/>
          <w14:ligatures w14:val="none"/>
        </w:rPr>
      </w:pPr>
    </w:p>
    <w:p w14:paraId="649715FA">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4.8</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26B3E6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134" w:type="dxa"/>
            <w:vMerge w:val="restart"/>
            <w:tcBorders>
              <w:top w:val="single" w:color="auto" w:sz="12" w:space="0"/>
            </w:tcBorders>
            <w:vAlign w:val="center"/>
          </w:tcPr>
          <w:p w14:paraId="5F0DE24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77D9799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w:t>
            </w:r>
            <w:r>
              <w:rPr>
                <w:rFonts w:hint="default" w:ascii="Times New Roman" w:hAnsi="Times New Roman" w:eastAsia="宋体" w:cs="Times New Roman"/>
                <w:sz w:val="18"/>
                <w:szCs w:val="18"/>
                <w14:ligatures w14:val="none"/>
              </w:rPr>
              <w:t>e realized that these effects may be driven by articles that focus</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14:ligatures w14:val="none"/>
              </w:rPr>
              <w:t>on isolation, which often connotes a more chronic lack of social connection compared to simply being alone.</w:t>
            </w:r>
          </w:p>
        </w:tc>
      </w:tr>
      <w:tr w14:paraId="6AA52B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416CEF6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2657D61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190D0E7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48AAF12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49031D5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tc>
        <w:tc>
          <w:tcPr>
            <w:tcW w:w="1361" w:type="dxa"/>
            <w:tcBorders>
              <w:bottom w:val="single" w:color="auto" w:sz="4" w:space="0"/>
            </w:tcBorders>
            <w:vAlign w:val="center"/>
          </w:tcPr>
          <w:p w14:paraId="0E4D0EE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461560FE">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其它指标</w:t>
            </w:r>
          </w:p>
        </w:tc>
      </w:tr>
      <w:tr w14:paraId="58E4A9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135C37B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AACED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143F08C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553B23B8">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0.33</w:t>
            </w:r>
          </w:p>
        </w:tc>
        <w:tc>
          <w:tcPr>
            <w:tcW w:w="1361" w:type="dxa"/>
            <w:tcBorders>
              <w:top w:val="single" w:color="auto" w:sz="4" w:space="0"/>
              <w:bottom w:val="nil"/>
            </w:tcBorders>
            <w:vAlign w:val="center"/>
          </w:tcPr>
          <w:p w14:paraId="291297B2">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w:t>
            </w:r>
          </w:p>
        </w:tc>
        <w:tc>
          <w:tcPr>
            <w:tcW w:w="1361" w:type="dxa"/>
            <w:tcBorders>
              <w:top w:val="single" w:color="auto" w:sz="4" w:space="0"/>
              <w:bottom w:val="nil"/>
            </w:tcBorders>
            <w:vAlign w:val="center"/>
          </w:tcPr>
          <w:p w14:paraId="6F095BC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宋体" w:hAnsi="宋体" w:eastAsia="宋体" w:cs="宋体"/>
                <w:sz w:val="18"/>
                <w:szCs w:val="18"/>
                <w:lang w:val="en-US" w:eastAsia="zh-CN"/>
                <w14:ligatures w14:val="none"/>
              </w:rPr>
              <w:t>p=0.567</w:t>
            </w:r>
          </w:p>
        </w:tc>
        <w:tc>
          <w:tcPr>
            <w:tcW w:w="1361" w:type="dxa"/>
            <w:tcBorders>
              <w:top w:val="single" w:color="auto" w:sz="4" w:space="0"/>
              <w:bottom w:val="nil"/>
            </w:tcBorders>
            <w:vAlign w:val="center"/>
          </w:tcPr>
          <w:p w14:paraId="0EEA8AC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12D203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AE691C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1F89DAF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5C6A5241">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0.32705</w:t>
            </w:r>
          </w:p>
        </w:tc>
        <w:tc>
          <w:tcPr>
            <w:tcW w:w="1361" w:type="dxa"/>
            <w:tcBorders>
              <w:top w:val="nil"/>
              <w:bottom w:val="nil"/>
            </w:tcBorders>
            <w:shd w:val="clear" w:color="auto" w:fill="auto"/>
            <w:vAlign w:val="center"/>
          </w:tcPr>
          <w:p w14:paraId="07A1D5EC">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2B14534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p=0.5674</w:t>
            </w:r>
          </w:p>
        </w:tc>
        <w:tc>
          <w:tcPr>
            <w:tcW w:w="1361" w:type="dxa"/>
            <w:tcBorders>
              <w:top w:val="nil"/>
              <w:bottom w:val="nil"/>
            </w:tcBorders>
            <w:vAlign w:val="center"/>
          </w:tcPr>
          <w:p w14:paraId="1B16A88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45DDB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573128C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5E240C8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4128F8CC">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08227EB0">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429D8E0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1002AB3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r>
      <w:tr w14:paraId="45D32A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20DFB84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105FA6E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66EC7BE9">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2CC48C3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single" w:color="auto" w:sz="12" w:space="0"/>
            </w:tcBorders>
            <w:vAlign w:val="center"/>
          </w:tcPr>
          <w:p w14:paraId="4A8AE2F9">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32F7DCF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4F99C44B">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2B69B9FE">
      <w:pP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br w:type="page"/>
      </w:r>
    </w:p>
    <w:p w14:paraId="46FEDE52">
      <w:pPr>
        <w:spacing w:line="300" w:lineRule="auto"/>
        <w:ind w:firstLine="360"/>
        <w:rPr>
          <w:rFonts w:hint="eastAsia" w:ascii="Times New Roman" w:hAnsi="Times New Roman" w:eastAsia="宋体" w:cs="Times New Roman"/>
          <w:sz w:val="18"/>
          <w:szCs w:val="18"/>
          <w14:ligatures w14:val="none"/>
        </w:rPr>
      </w:pPr>
    </w:p>
    <w:p w14:paraId="29B5FD08">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4.9</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4F5C54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00DDAE8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363A338E">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Further, they were over seven times more likely to</w:t>
            </w:r>
          </w:p>
          <w:p w14:paraId="0363F66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mention the risks of being alone than make neutral statements about</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being alone</w:t>
            </w:r>
          </w:p>
        </w:tc>
      </w:tr>
      <w:tr w14:paraId="7EDC49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1635383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3A0D301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76C4865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1FAFEBE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6FA629B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tc>
        <w:tc>
          <w:tcPr>
            <w:tcW w:w="1361" w:type="dxa"/>
            <w:tcBorders>
              <w:bottom w:val="single" w:color="auto" w:sz="4" w:space="0"/>
            </w:tcBorders>
            <w:vAlign w:val="center"/>
          </w:tcPr>
          <w:p w14:paraId="065CD47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2E60221B">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其它指标</w:t>
            </w:r>
          </w:p>
        </w:tc>
      </w:tr>
      <w:tr w14:paraId="3BFAAB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A94644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7C5EAFB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272AC8B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77467D0C">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0.54</w:t>
            </w:r>
          </w:p>
        </w:tc>
        <w:tc>
          <w:tcPr>
            <w:tcW w:w="1361" w:type="dxa"/>
            <w:tcBorders>
              <w:top w:val="single" w:color="auto" w:sz="4" w:space="0"/>
              <w:bottom w:val="nil"/>
            </w:tcBorders>
            <w:vAlign w:val="center"/>
          </w:tcPr>
          <w:p w14:paraId="4BB95897">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w:t>
            </w:r>
          </w:p>
        </w:tc>
        <w:tc>
          <w:tcPr>
            <w:tcW w:w="1361" w:type="dxa"/>
            <w:tcBorders>
              <w:top w:val="single" w:color="auto" w:sz="4" w:space="0"/>
              <w:bottom w:val="nil"/>
            </w:tcBorders>
            <w:vAlign w:val="center"/>
          </w:tcPr>
          <w:p w14:paraId="523B46C1">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宋体" w:hAnsi="宋体" w:eastAsia="宋体" w:cs="宋体"/>
                <w:sz w:val="18"/>
                <w:szCs w:val="18"/>
                <w:lang w:val="en-US" w:eastAsia="zh-CN"/>
                <w14:ligatures w14:val="none"/>
              </w:rPr>
              <w:t>p=0.462</w:t>
            </w:r>
          </w:p>
        </w:tc>
        <w:tc>
          <w:tcPr>
            <w:tcW w:w="1361" w:type="dxa"/>
            <w:tcBorders>
              <w:top w:val="single" w:color="auto" w:sz="4" w:space="0"/>
              <w:bottom w:val="nil"/>
            </w:tcBorders>
            <w:vAlign w:val="center"/>
          </w:tcPr>
          <w:p w14:paraId="6DA34B3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5FCD7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726EE1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4EA0E35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00F26C9B">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0.5401</w:t>
            </w:r>
          </w:p>
        </w:tc>
        <w:tc>
          <w:tcPr>
            <w:tcW w:w="1361" w:type="dxa"/>
            <w:tcBorders>
              <w:top w:val="nil"/>
              <w:bottom w:val="nil"/>
            </w:tcBorders>
            <w:shd w:val="clear" w:color="auto" w:fill="auto"/>
            <w:vAlign w:val="center"/>
          </w:tcPr>
          <w:p w14:paraId="50C7D2C2">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6C6827D2">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p=0.4624</w:t>
            </w:r>
          </w:p>
        </w:tc>
        <w:tc>
          <w:tcPr>
            <w:tcW w:w="1361" w:type="dxa"/>
            <w:tcBorders>
              <w:top w:val="nil"/>
              <w:bottom w:val="nil"/>
            </w:tcBorders>
            <w:vAlign w:val="center"/>
          </w:tcPr>
          <w:p w14:paraId="7F874CC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29725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6D1E420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20E280B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43BE63B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7139E19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3F62CAC3">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5D3208FB">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r>
      <w:tr w14:paraId="51051B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6656670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65C039B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4C63369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77053F5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single" w:color="auto" w:sz="12" w:space="0"/>
            </w:tcBorders>
            <w:vAlign w:val="center"/>
          </w:tcPr>
          <w:p w14:paraId="65C15291">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4255D43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40452EB4">
      <w:pPr>
        <w:spacing w:line="300" w:lineRule="auto"/>
        <w:ind w:firstLine="360"/>
        <w:rPr>
          <w:rFonts w:ascii="Times New Roman" w:hAnsi="Times New Roman" w:eastAsia="宋体" w:cs="Times New Roman"/>
          <w:b/>
          <w:bCs/>
          <w:sz w:val="22"/>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对原文计算可复现性进行评估</w:t>
      </w:r>
    </w:p>
    <w:p w14:paraId="35DC8050">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35DC8051">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报告原文献的值的评级分布、推论的一致情况，整理成表格，如下表所示：</w:t>
      </w:r>
    </w:p>
    <w:p w14:paraId="35DC805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3668" w:type="dxa"/>
            <w:vMerge w:val="restart"/>
            <w:tcBorders>
              <w:top w:val="single" w:color="auto" w:sz="12" w:space="0"/>
            </w:tcBorders>
            <w:vAlign w:val="center"/>
          </w:tcPr>
          <w:p w14:paraId="35DC805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2370" w:type="dxa"/>
            <w:gridSpan w:val="2"/>
            <w:tcBorders>
              <w:top w:val="single" w:color="auto" w:sz="12" w:space="0"/>
            </w:tcBorders>
          </w:tcPr>
          <w:p w14:paraId="35DC805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56">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805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805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5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hint="default" w:ascii="Times New Roman" w:hAnsi="Times New Roman" w:eastAsia="宋体" w:cs="Times New Roman"/>
                <w:sz w:val="18"/>
                <w:szCs w:val="18"/>
                <w14:ligatures w14:val="none"/>
              </w:rPr>
              <w:t>(</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805B">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w:t>
            </w:r>
            <w:bookmarkStart w:id="0" w:name="_GoBack"/>
            <w:bookmarkEnd w:id="0"/>
          </w:p>
        </w:tc>
        <w:tc>
          <w:tcPr>
            <w:tcW w:w="1185" w:type="dxa"/>
            <w:tcBorders>
              <w:top w:val="single" w:color="auto" w:sz="4" w:space="0"/>
              <w:bottom w:val="nil"/>
            </w:tcBorders>
            <w:vAlign w:val="center"/>
          </w:tcPr>
          <w:p w14:paraId="35DC805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5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hint="default" w:ascii="Times New Roman" w:hAnsi="Times New Roman" w:eastAsia="宋体" w:cs="Times New Roman"/>
                <w:sz w:val="18"/>
                <w:szCs w:val="18"/>
                <w14:ligatures w14:val="none"/>
              </w:rPr>
              <w:t xml:space="preserve">(0% &lt; </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805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nil"/>
              <w:bottom w:val="nil"/>
            </w:tcBorders>
            <w:vAlign w:val="center"/>
          </w:tcPr>
          <w:p w14:paraId="35DC806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6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偏差较小</w:t>
            </w:r>
            <w:r>
              <w:rPr>
                <w:rFonts w:hint="default" w:ascii="Times New Roman" w:hAnsi="Times New Roman" w:eastAsia="宋体" w:cs="Times New Roman"/>
                <w:sz w:val="18"/>
                <w:szCs w:val="18"/>
                <w14:ligatures w14:val="none"/>
              </w:rPr>
              <w:t>(</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hint="default"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35DC806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nil"/>
              <w:bottom w:val="nil"/>
            </w:tcBorders>
            <w:vAlign w:val="center"/>
          </w:tcPr>
          <w:p w14:paraId="35DC806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6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vAlign w:val="center"/>
          </w:tcPr>
          <w:p w14:paraId="35DC806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6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35DC806A">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806B">
      <w:pPr>
        <w:spacing w:line="300" w:lineRule="auto"/>
        <w:ind w:firstLine="361"/>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6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807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hint="default"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7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7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35DC807B">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807C">
      <w:pPr>
        <w:spacing w:line="300" w:lineRule="auto"/>
        <w:rPr>
          <w:rFonts w:ascii="Times New Roman" w:hAnsi="Times New Roman" w:eastAsia="宋体" w:cs="Times New Roman"/>
          <w:szCs w:val="24"/>
          <w14:ligatures w14:val="none"/>
        </w:rPr>
      </w:pPr>
    </w:p>
    <w:p w14:paraId="35DC807D">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若出现不一致的情况，需要文字总结出现了哪些不一致。</w:t>
      </w:r>
    </w:p>
    <w:p w14:paraId="35DC807E">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3.3.2 使用与原文献不同方法</w:t>
      </w:r>
    </w:p>
    <w:p w14:paraId="35DC807F">
      <w:pPr>
        <w:spacing w:line="30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报告采用新方法后，推论与原文献推论的一致情况，整理成表格，如下表所示</w:t>
      </w:r>
    </w:p>
    <w:p w14:paraId="35DC8080">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推论的一致性的评估表(创新方法)</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8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vAlign w:val="center"/>
          </w:tcPr>
          <w:p w14:paraId="35DC808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84">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14:ligatures w14:val="none"/>
              </w:rPr>
            </w:pPr>
          </w:p>
        </w:tc>
        <w:tc>
          <w:tcPr>
            <w:tcW w:w="1185" w:type="dxa"/>
            <w:tcBorders>
              <w:bottom w:val="single" w:color="auto" w:sz="4" w:space="0"/>
            </w:tcBorders>
            <w:vAlign w:val="center"/>
          </w:tcPr>
          <w:p w14:paraId="35DC808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hint="default" w:ascii="Times New Roman" w:hAnsi="Times New Roman" w:eastAsia="宋体" w:cs="Times New Roman"/>
                <w:i/>
                <w:iCs/>
                <w:sz w:val="18"/>
                <w:szCs w:val="18"/>
                <w14:ligatures w14:val="none"/>
              </w:rPr>
              <w:t xml:space="preserve"> *</w:t>
            </w:r>
          </w:p>
        </w:tc>
        <w:tc>
          <w:tcPr>
            <w:tcW w:w="1185" w:type="dxa"/>
            <w:tcBorders>
              <w:bottom w:val="single" w:color="auto" w:sz="4" w:space="0"/>
            </w:tcBorders>
            <w:vAlign w:val="center"/>
          </w:tcPr>
          <w:p w14:paraId="35DC808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8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8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8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5DC80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8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8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8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35DC8090">
      <w:pPr>
        <w:spacing w:line="300" w:lineRule="auto"/>
        <w:ind w:firstLine="420"/>
        <w:rPr>
          <w:rFonts w:ascii="Times New Roman" w:hAnsi="Times New Roman" w:eastAsia="宋体" w:cs="Times New Roman"/>
          <w:i/>
          <w:iCs/>
          <w:szCs w:val="24"/>
          <w14:ligatures w14:val="none"/>
        </w:rPr>
      </w:pPr>
    </w:p>
    <w:p w14:paraId="35DC8091">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若出现不一致的情况，需要文字总结出现了哪些不一致。</w:t>
      </w:r>
    </w:p>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35DC8094">
      <w:pPr>
        <w:spacing w:line="300" w:lineRule="auto"/>
        <w:ind w:firstLine="420" w:firstLineChars="200"/>
        <w:rPr>
          <w:rFonts w:ascii="Times New Roman" w:hAnsi="Times New Roman" w:eastAsia="黑体" w:cs="Times New Roman"/>
          <w:b/>
          <w:bCs/>
          <w:sz w:val="18"/>
          <w:szCs w:val="18"/>
          <w14:ligatures w14:val="none"/>
        </w:rPr>
      </w:pPr>
      <w:r>
        <w:rPr>
          <w:rFonts w:hint="eastAsia" w:ascii="Times New Roman" w:hAnsi="Times New Roman" w:eastAsia="宋体" w:cs="Times New Roman"/>
          <w:szCs w:val="24"/>
          <w14:ligatures w14:val="none"/>
        </w:rPr>
        <w:t>结合下表，对原文献进行分析，推测可能导致可复现性检验结果差异的原因。对于重要的原因，逐段进行展开说明。</w:t>
      </w:r>
    </w:p>
    <w:p w14:paraId="35DC8095">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8 计算上（不）可重复的原因分析表</w:t>
      </w:r>
    </w:p>
    <w:tbl>
      <w:tblPr>
        <w:tblStyle w:val="6"/>
        <w:tblW w:w="100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379"/>
        <w:gridCol w:w="3475"/>
        <w:gridCol w:w="912"/>
        <w:gridCol w:w="1009"/>
        <w:gridCol w:w="940"/>
        <w:gridCol w:w="940"/>
      </w:tblGrid>
      <w:tr w14:paraId="1BC5A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6210" w:type="dxa"/>
            <w:gridSpan w:val="3"/>
            <w:tcBorders>
              <w:top w:val="single" w:color="auto" w:sz="12" w:space="0"/>
              <w:bottom w:val="single" w:color="auto" w:sz="4" w:space="0"/>
            </w:tcBorders>
            <w:vAlign w:val="center"/>
          </w:tcPr>
          <w:p w14:paraId="35DC809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912" w:type="dxa"/>
            <w:tcBorders>
              <w:top w:val="single" w:color="auto" w:sz="12" w:space="0"/>
              <w:bottom w:val="single" w:color="auto" w:sz="4" w:space="0"/>
            </w:tcBorders>
            <w:vAlign w:val="center"/>
          </w:tcPr>
          <w:p w14:paraId="35DC809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研究一</w:t>
            </w:r>
          </w:p>
        </w:tc>
        <w:tc>
          <w:tcPr>
            <w:tcW w:w="1009" w:type="dxa"/>
            <w:tcBorders>
              <w:top w:val="single" w:color="auto" w:sz="12" w:space="0"/>
              <w:bottom w:val="single" w:color="auto" w:sz="4" w:space="0"/>
            </w:tcBorders>
            <w:vAlign w:val="center"/>
          </w:tcPr>
          <w:p w14:paraId="35DC8098">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二</w:t>
            </w:r>
          </w:p>
        </w:tc>
        <w:tc>
          <w:tcPr>
            <w:tcW w:w="940" w:type="dxa"/>
            <w:tcBorders>
              <w:top w:val="single" w:color="auto" w:sz="12" w:space="0"/>
              <w:bottom w:val="single" w:color="auto" w:sz="4" w:space="0"/>
            </w:tcBorders>
            <w:vAlign w:val="center"/>
          </w:tcPr>
          <w:p w14:paraId="35DC8099">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三</w:t>
            </w:r>
          </w:p>
        </w:tc>
        <w:tc>
          <w:tcPr>
            <w:tcW w:w="940" w:type="dxa"/>
            <w:tcBorders>
              <w:top w:val="single" w:color="auto" w:sz="12" w:space="0"/>
              <w:bottom w:val="single" w:color="auto" w:sz="4" w:space="0"/>
            </w:tcBorders>
            <w:vAlign w:val="center"/>
          </w:tcPr>
          <w:p w14:paraId="3D93B5F6">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四</w:t>
            </w:r>
          </w:p>
        </w:tc>
      </w:tr>
      <w:tr w14:paraId="081EE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jc w:val="center"/>
        </w:trPr>
        <w:tc>
          <w:tcPr>
            <w:tcW w:w="1356" w:type="dxa"/>
            <w:vMerge w:val="restart"/>
            <w:tcBorders>
              <w:top w:val="single" w:color="auto" w:sz="4" w:space="0"/>
            </w:tcBorders>
            <w:vAlign w:val="center"/>
          </w:tcPr>
          <w:p w14:paraId="35DC809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09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379" w:type="dxa"/>
            <w:vMerge w:val="restart"/>
            <w:tcBorders>
              <w:top w:val="single" w:color="auto" w:sz="4" w:space="0"/>
            </w:tcBorders>
            <w:vAlign w:val="center"/>
          </w:tcPr>
          <w:p w14:paraId="35DC809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475" w:type="dxa"/>
            <w:tcBorders>
              <w:top w:val="single" w:color="auto" w:sz="4" w:space="0"/>
            </w:tcBorders>
            <w:vAlign w:val="center"/>
          </w:tcPr>
          <w:p w14:paraId="35DC809E">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几个结果的微小差异，可能是由于分析中使用了没有设置固定种子的随机数；</w:t>
            </w:r>
          </w:p>
        </w:tc>
        <w:tc>
          <w:tcPr>
            <w:tcW w:w="912" w:type="dxa"/>
            <w:tcBorders>
              <w:top w:val="single" w:color="auto" w:sz="4" w:space="0"/>
            </w:tcBorders>
          </w:tcPr>
          <w:p w14:paraId="35DC809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A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A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20F32AC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05E20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A3">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A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A5">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912" w:type="dxa"/>
          </w:tcPr>
          <w:p w14:paraId="35DC80A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A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A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718FDCB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4557E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AA">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A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AC">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912" w:type="dxa"/>
          </w:tcPr>
          <w:p w14:paraId="35DC80A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A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A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7E3330F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2EFE5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1">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B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B3">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912" w:type="dxa"/>
            <w:tcBorders>
              <w:bottom w:val="single" w:color="auto" w:sz="4" w:space="0"/>
            </w:tcBorders>
          </w:tcPr>
          <w:p w14:paraId="35DC80B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B5">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0B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53C0711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2D82A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8">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B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475" w:type="dxa"/>
            <w:tcBorders>
              <w:top w:val="single" w:color="auto" w:sz="4" w:space="0"/>
            </w:tcBorders>
            <w:vAlign w:val="center"/>
          </w:tcPr>
          <w:p w14:paraId="35DC80BA">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912" w:type="dxa"/>
            <w:tcBorders>
              <w:top w:val="single" w:color="auto" w:sz="4" w:space="0"/>
            </w:tcBorders>
          </w:tcPr>
          <w:p w14:paraId="35DC80B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B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B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6A54434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13E3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F">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C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C1">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912" w:type="dxa"/>
          </w:tcPr>
          <w:p w14:paraId="35DC80C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C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C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54D007D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304EE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1356" w:type="dxa"/>
            <w:vMerge w:val="continue"/>
            <w:vAlign w:val="center"/>
          </w:tcPr>
          <w:p w14:paraId="35DC80C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C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C8">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912" w:type="dxa"/>
            <w:tcBorders>
              <w:bottom w:val="single" w:color="auto" w:sz="4" w:space="0"/>
            </w:tcBorders>
          </w:tcPr>
          <w:p w14:paraId="35DC80C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CA">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0C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5342DD8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4A293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C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CE">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475" w:type="dxa"/>
            <w:tcBorders>
              <w:top w:val="single" w:color="auto" w:sz="4" w:space="0"/>
            </w:tcBorders>
            <w:vAlign w:val="center"/>
          </w:tcPr>
          <w:p w14:paraId="35DC80CF">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912" w:type="dxa"/>
            <w:tcBorders>
              <w:top w:val="single" w:color="auto" w:sz="4" w:space="0"/>
            </w:tcBorders>
          </w:tcPr>
          <w:p w14:paraId="35DC80D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D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D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12CCD67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78016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D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D5">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D6">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912" w:type="dxa"/>
          </w:tcPr>
          <w:p w14:paraId="35DC80D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D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D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E8ABC9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33826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D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D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DD">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912" w:type="dxa"/>
            <w:tcBorders>
              <w:bottom w:val="single" w:color="auto" w:sz="4" w:space="0"/>
            </w:tcBorders>
          </w:tcPr>
          <w:p w14:paraId="35DC80D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D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0E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BDC4A3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68CE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356" w:type="dxa"/>
            <w:vMerge w:val="continue"/>
            <w:vAlign w:val="center"/>
          </w:tcPr>
          <w:p w14:paraId="35DC80E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E3">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475" w:type="dxa"/>
            <w:tcBorders>
              <w:top w:val="single" w:color="auto" w:sz="4" w:space="0"/>
            </w:tcBorders>
            <w:vAlign w:val="center"/>
          </w:tcPr>
          <w:p w14:paraId="35DC80E4">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912" w:type="dxa"/>
            <w:tcBorders>
              <w:top w:val="single" w:color="auto" w:sz="4" w:space="0"/>
            </w:tcBorders>
          </w:tcPr>
          <w:p w14:paraId="35DC80E5">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E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E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85ED3C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129F4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356" w:type="dxa"/>
            <w:vMerge w:val="continue"/>
            <w:vAlign w:val="center"/>
          </w:tcPr>
          <w:p w14:paraId="35DC80E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EA">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EB">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912" w:type="dxa"/>
            <w:tcBorders>
              <w:bottom w:val="single" w:color="auto" w:sz="4" w:space="0"/>
            </w:tcBorders>
          </w:tcPr>
          <w:p w14:paraId="35DC80E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E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0E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068105E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208A8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56" w:type="dxa"/>
            <w:vMerge w:val="restart"/>
            <w:vAlign w:val="center"/>
          </w:tcPr>
          <w:p w14:paraId="35DC80F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0F1">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379" w:type="dxa"/>
            <w:vMerge w:val="restart"/>
            <w:vAlign w:val="center"/>
          </w:tcPr>
          <w:p w14:paraId="35DC80F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475" w:type="dxa"/>
            <w:tcBorders>
              <w:top w:val="single" w:color="auto" w:sz="4" w:space="0"/>
            </w:tcBorders>
            <w:vAlign w:val="center"/>
          </w:tcPr>
          <w:p w14:paraId="35DC80F3">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912" w:type="dxa"/>
            <w:tcBorders>
              <w:top w:val="single" w:color="auto" w:sz="4" w:space="0"/>
            </w:tcBorders>
          </w:tcPr>
          <w:p w14:paraId="35DC80F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F5">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F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7BD5DE5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74C9C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356" w:type="dxa"/>
            <w:vMerge w:val="continue"/>
            <w:vAlign w:val="center"/>
          </w:tcPr>
          <w:p w14:paraId="35DC80F8">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F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FA">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912" w:type="dxa"/>
          </w:tcPr>
          <w:p w14:paraId="35DC80F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F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F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6F6A455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1CC70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356" w:type="dxa"/>
            <w:vMerge w:val="continue"/>
            <w:vAlign w:val="center"/>
          </w:tcPr>
          <w:p w14:paraId="35DC80FF">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10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8" w:space="0"/>
            </w:tcBorders>
            <w:vAlign w:val="center"/>
          </w:tcPr>
          <w:p w14:paraId="35DC8101">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912" w:type="dxa"/>
            <w:tcBorders>
              <w:bottom w:val="single" w:color="auto" w:sz="8" w:space="0"/>
            </w:tcBorders>
          </w:tcPr>
          <w:p w14:paraId="35DC810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8" w:space="0"/>
            </w:tcBorders>
          </w:tcPr>
          <w:p w14:paraId="35DC810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8" w:space="0"/>
            </w:tcBorders>
          </w:tcPr>
          <w:p w14:paraId="35DC810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8" w:space="0"/>
            </w:tcBorders>
          </w:tcPr>
          <w:p w14:paraId="74A60F4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7B1A8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0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10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475" w:type="dxa"/>
            <w:tcBorders>
              <w:top w:val="single" w:color="auto" w:sz="8" w:space="0"/>
            </w:tcBorders>
            <w:vAlign w:val="center"/>
          </w:tcPr>
          <w:p w14:paraId="35DC8108">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重复者此前是否有过 R 使用经验；</w:t>
            </w:r>
          </w:p>
        </w:tc>
        <w:tc>
          <w:tcPr>
            <w:tcW w:w="912" w:type="dxa"/>
            <w:tcBorders>
              <w:top w:val="single" w:color="auto" w:sz="8" w:space="0"/>
            </w:tcBorders>
          </w:tcPr>
          <w:p w14:paraId="35DC810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8" w:space="0"/>
            </w:tcBorders>
          </w:tcPr>
          <w:p w14:paraId="35DC810A">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8" w:space="0"/>
            </w:tcBorders>
          </w:tcPr>
          <w:p w14:paraId="35DC810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8" w:space="0"/>
            </w:tcBorders>
          </w:tcPr>
          <w:p w14:paraId="4CF4E64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486DD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0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10E">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10F">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重复者对关于 R 的知识或操作上存在漏洞，较难理解原文章中的部分操作(可做简单说明)。</w:t>
            </w:r>
          </w:p>
        </w:tc>
        <w:tc>
          <w:tcPr>
            <w:tcW w:w="912" w:type="dxa"/>
            <w:tcBorders>
              <w:bottom w:val="single" w:color="auto" w:sz="4" w:space="0"/>
            </w:tcBorders>
          </w:tcPr>
          <w:p w14:paraId="35DC811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11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11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29A3588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5D235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restart"/>
            <w:vAlign w:val="center"/>
          </w:tcPr>
          <w:p w14:paraId="35DC811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115">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379" w:type="dxa"/>
            <w:vAlign w:val="center"/>
          </w:tcPr>
          <w:p w14:paraId="35DC811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475" w:type="dxa"/>
            <w:tcBorders>
              <w:top w:val="single" w:color="auto" w:sz="4" w:space="0"/>
            </w:tcBorders>
            <w:vAlign w:val="center"/>
          </w:tcPr>
          <w:p w14:paraId="35DC8117">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912" w:type="dxa"/>
            <w:tcBorders>
              <w:top w:val="single" w:color="auto" w:sz="4" w:space="0"/>
            </w:tcBorders>
          </w:tcPr>
          <w:p w14:paraId="35DC811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11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11A">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5B0313C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389AB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1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11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475" w:type="dxa"/>
            <w:vAlign w:val="center"/>
          </w:tcPr>
          <w:p w14:paraId="35DC811E">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912" w:type="dxa"/>
          </w:tcPr>
          <w:p w14:paraId="35DC811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12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12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6851E15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10499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tcPr>
          <w:p w14:paraId="35DC8123">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1379" w:type="dxa"/>
            <w:vMerge w:val="continue"/>
          </w:tcPr>
          <w:p w14:paraId="35DC8124">
            <w:pPr>
              <w:keepNext w:val="0"/>
              <w:keepLines w:val="0"/>
              <w:suppressLineNumbers w:val="0"/>
              <w:spacing w:before="0" w:beforeAutospacing="0" w:after="0" w:afterAutospacing="0" w:line="300" w:lineRule="auto"/>
              <w:ind w:left="0" w:right="0"/>
              <w:rPr>
                <w:rFonts w:hint="default" w:ascii="Times New Roman" w:hAnsi="Times New Roman" w:eastAsia="宋体" w:cs="Times New Roman"/>
                <w:b/>
                <w:bCs/>
                <w:szCs w:val="24"/>
                <w14:ligatures w14:val="none"/>
              </w:rPr>
            </w:pPr>
          </w:p>
        </w:tc>
        <w:tc>
          <w:tcPr>
            <w:tcW w:w="3475" w:type="dxa"/>
            <w:vAlign w:val="center"/>
          </w:tcPr>
          <w:p w14:paraId="35DC8125">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912" w:type="dxa"/>
          </w:tcPr>
          <w:p w14:paraId="35DC812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12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12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718558F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32561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tcBorders>
              <w:bottom w:val="single" w:color="auto" w:sz="12" w:space="0"/>
            </w:tcBorders>
          </w:tcPr>
          <w:p w14:paraId="35DC812A">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1379" w:type="dxa"/>
            <w:vMerge w:val="continue"/>
            <w:tcBorders>
              <w:bottom w:val="single" w:color="auto" w:sz="12" w:space="0"/>
            </w:tcBorders>
          </w:tcPr>
          <w:p w14:paraId="35DC812B">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3475" w:type="dxa"/>
            <w:tcBorders>
              <w:bottom w:val="single" w:color="auto" w:sz="12" w:space="0"/>
            </w:tcBorders>
            <w:vAlign w:val="center"/>
          </w:tcPr>
          <w:p w14:paraId="35DC812C">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912" w:type="dxa"/>
            <w:tcBorders>
              <w:bottom w:val="single" w:color="auto" w:sz="12" w:space="0"/>
            </w:tcBorders>
          </w:tcPr>
          <w:p w14:paraId="35DC812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12" w:space="0"/>
            </w:tcBorders>
          </w:tcPr>
          <w:p w14:paraId="35DC812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12" w:space="0"/>
            </w:tcBorders>
          </w:tcPr>
          <w:p w14:paraId="35DC812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12" w:space="0"/>
            </w:tcBorders>
          </w:tcPr>
          <w:p w14:paraId="52EB630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bl>
    <w:p w14:paraId="35DC8131">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35DC8132">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可自由总结数据分析过程中除计算可复现性问题外的其他思考，也可以包括对本课的建议。</w:t>
      </w:r>
    </w:p>
    <w:p w14:paraId="35DC8133">
      <w:pPr>
        <w:spacing w:line="300" w:lineRule="auto"/>
        <w:ind w:firstLine="600"/>
        <w:rPr>
          <w:rFonts w:ascii="Times New Roman" w:hAnsi="Times New Roman" w:eastAsia="宋体" w:cs="Times New Roman"/>
          <w:sz w:val="30"/>
          <w:szCs w:val="30"/>
          <w14:ligatures w14:val="none"/>
        </w:rPr>
      </w:pPr>
    </w:p>
    <w:p w14:paraId="35DC8134">
      <w:pPr>
        <w:spacing w:line="300" w:lineRule="auto"/>
        <w:ind w:firstLine="562" w:firstLineChars="200"/>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11EFA5E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AdvOT70e1938e">
    <w:altName w:val="Segoe Print"/>
    <w:panose1 w:val="00000000000000000000"/>
    <w:charset w:val="00"/>
    <w:family w:val="auto"/>
    <w:pitch w:val="default"/>
    <w:sig w:usb0="00000000" w:usb1="00000000" w:usb2="00000000" w:usb3="00000000" w:csb0="00000000" w:csb1="00000000"/>
  </w:font>
  <w:font w:name="AdvOTdd63dae3">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dvOT13119950">
    <w:altName w:val="Segoe Print"/>
    <w:panose1 w:val="00000000000000000000"/>
    <w:charset w:val="00"/>
    <w:family w:val="auto"/>
    <w:pitch w:val="default"/>
    <w:sig w:usb0="00000000" w:usb1="00000000" w:usb2="00000000" w:usb3="00000000" w:csb0="00000000" w:csb1="00000000"/>
  </w:font>
  <w:font w:name="AdvOTdd63dae3+20">
    <w:altName w:val="Segoe Print"/>
    <w:panose1 w:val="00000000000000000000"/>
    <w:charset w:val="00"/>
    <w:family w:val="auto"/>
    <w:pitch w:val="default"/>
    <w:sig w:usb0="00000000" w:usb1="00000000" w:usb2="00000000" w:usb3="00000000" w:csb0="00000000" w:csb1="00000000"/>
  </w:font>
  <w:font w:name="AdvOTcc1f6510.I">
    <w:altName w:val="Segoe Print"/>
    <w:panose1 w:val="00000000000000000000"/>
    <w:charset w:val="00"/>
    <w:family w:val="auto"/>
    <w:pitch w:val="default"/>
    <w:sig w:usb0="00000000" w:usb1="00000000" w:usb2="00000000" w:usb3="00000000" w:csb0="00000000" w:csb1="00000000"/>
  </w:font>
  <w:font w:name="AdvOTdd63dae3+fb">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D6839"/>
    <w:rsid w:val="0475320A"/>
    <w:rsid w:val="04BB7C79"/>
    <w:rsid w:val="07B4342D"/>
    <w:rsid w:val="080C72B1"/>
    <w:rsid w:val="0A2371C6"/>
    <w:rsid w:val="0CB036DC"/>
    <w:rsid w:val="0F23418C"/>
    <w:rsid w:val="0F944CDC"/>
    <w:rsid w:val="11264F6B"/>
    <w:rsid w:val="125C44FC"/>
    <w:rsid w:val="149D6F04"/>
    <w:rsid w:val="152E4A94"/>
    <w:rsid w:val="173105C7"/>
    <w:rsid w:val="185C0450"/>
    <w:rsid w:val="191E2155"/>
    <w:rsid w:val="195B60C2"/>
    <w:rsid w:val="19C61485"/>
    <w:rsid w:val="19EC0BAF"/>
    <w:rsid w:val="1B031510"/>
    <w:rsid w:val="1E8A4F14"/>
    <w:rsid w:val="1FB904F7"/>
    <w:rsid w:val="20434578"/>
    <w:rsid w:val="21633311"/>
    <w:rsid w:val="217F311B"/>
    <w:rsid w:val="22552F34"/>
    <w:rsid w:val="23CD3102"/>
    <w:rsid w:val="242900F1"/>
    <w:rsid w:val="27E47518"/>
    <w:rsid w:val="29400E7C"/>
    <w:rsid w:val="29A8515D"/>
    <w:rsid w:val="29B759E4"/>
    <w:rsid w:val="2AF849C9"/>
    <w:rsid w:val="2B3E03DE"/>
    <w:rsid w:val="2BCB763E"/>
    <w:rsid w:val="2CD52468"/>
    <w:rsid w:val="2D5F58B2"/>
    <w:rsid w:val="2F6D778C"/>
    <w:rsid w:val="2F9B1F61"/>
    <w:rsid w:val="307F5330"/>
    <w:rsid w:val="313C59EB"/>
    <w:rsid w:val="31865E05"/>
    <w:rsid w:val="3390404F"/>
    <w:rsid w:val="33C17780"/>
    <w:rsid w:val="34322F4C"/>
    <w:rsid w:val="34F05DC9"/>
    <w:rsid w:val="35AB2ECC"/>
    <w:rsid w:val="37155EE0"/>
    <w:rsid w:val="3AE0515A"/>
    <w:rsid w:val="3C513BF7"/>
    <w:rsid w:val="3D0F41E9"/>
    <w:rsid w:val="3F600A8B"/>
    <w:rsid w:val="3FDF7E90"/>
    <w:rsid w:val="40944E6B"/>
    <w:rsid w:val="43D161D2"/>
    <w:rsid w:val="448B30C1"/>
    <w:rsid w:val="47CC58C3"/>
    <w:rsid w:val="488809D7"/>
    <w:rsid w:val="4AE051E1"/>
    <w:rsid w:val="4DA67FF3"/>
    <w:rsid w:val="4F752D86"/>
    <w:rsid w:val="511E4840"/>
    <w:rsid w:val="51AD456F"/>
    <w:rsid w:val="532D6376"/>
    <w:rsid w:val="5540202B"/>
    <w:rsid w:val="55BA4E97"/>
    <w:rsid w:val="56F7744D"/>
    <w:rsid w:val="57EA33A9"/>
    <w:rsid w:val="59E535D4"/>
    <w:rsid w:val="5AC216A1"/>
    <w:rsid w:val="5BCC46E3"/>
    <w:rsid w:val="5D68544F"/>
    <w:rsid w:val="63926B24"/>
    <w:rsid w:val="63A73F95"/>
    <w:rsid w:val="65861AEF"/>
    <w:rsid w:val="66862D8C"/>
    <w:rsid w:val="69BF5932"/>
    <w:rsid w:val="6CCB26FF"/>
    <w:rsid w:val="6DC6722E"/>
    <w:rsid w:val="6E111123"/>
    <w:rsid w:val="72777FEA"/>
    <w:rsid w:val="75193C20"/>
    <w:rsid w:val="76304E5F"/>
    <w:rsid w:val="76DF5654"/>
    <w:rsid w:val="7A6530E0"/>
    <w:rsid w:val="7BB20FC6"/>
    <w:rsid w:val="7FC53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 w:type="paragraph" w:customStyle="1" w:styleId="10">
    <w:name w:val="一级标题"/>
    <w:basedOn w:val="2"/>
    <w:next w:val="1"/>
    <w:qFormat/>
    <w:uiPriority w:val="0"/>
    <w:pPr>
      <w:spacing w:before="50" w:beforeLines="50" w:after="50" w:afterLines="50" w:line="400" w:lineRule="atLeast"/>
      <w:ind w:firstLine="420" w:firstLineChars="200"/>
      <w:outlineLvl w:val="1"/>
    </w:pPr>
    <w:rPr>
      <w:rFonts w:hint="eastAsia" w:ascii="黑体" w:hAnsi="黑体" w:eastAsia="黑体" w:cstheme="majorBidi"/>
      <w:b w:val="0"/>
      <w:bCs/>
      <w:sz w:val="28"/>
      <w:szCs w:val="2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1507</Words>
  <Characters>1927</Characters>
  <Lines>1</Lines>
  <Paragraphs>1</Paragraphs>
  <TotalTime>32</TotalTime>
  <ScaleCrop>false</ScaleCrop>
  <LinksUpToDate>false</LinksUpToDate>
  <CharactersWithSpaces>2014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2023-11-22T04:19:00Z</dcterms:created>
  <dc:creator>蔡振辛</dc:creator>
  <cp:lastModifiedBy>蔡振辛</cp:lastModifiedBy>
  <dcterms:modified xsi:type="dcterms:W3CDTF">2025-06-15T01:08:21Z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686FECE26060491A9703798694D13D24_12</vt:lpwstr>
  </property>
  <property fmtid="{D5CDD505-2E9C-101B-9397-08002B2CF9AE}" pid="4" name="KSOTemplateDocerSaveRecord">
    <vt:lpwstr>eyJoZGlkIjoiNmU4ODM1N2NlZDYxNjc5NmRmYjBjNTIzODg0N2Q5ZTQiLCJ1c2VySWQiOiI4NDM1NzAxODEifQ==</vt:lpwstr>
  </property>
</Properties>
</file>