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C7F70">
      <w:pPr>
        <w:spacing w:line="300" w:lineRule="auto"/>
        <w:rPr>
          <w:rFonts w:ascii="Times New Roman" w:hAnsi="Times New Roman" w:eastAsia="宋体" w:cs="Times New Roman"/>
          <w:sz w:val="24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 w:val="24"/>
          <w:szCs w:val="24"/>
          <w14:ligatures w14:val="none"/>
        </w:rPr>
        <w:t>附录一、研究报告格式(中文)</w:t>
      </w:r>
    </w:p>
    <w:p w14:paraId="35DC7F71">
      <w:pPr>
        <w:spacing w:line="300" w:lineRule="auto"/>
        <w:ind w:firstLine="480"/>
        <w:rPr>
          <w:rFonts w:ascii="Times New Roman" w:hAnsi="Times New Roman" w:eastAsia="宋体" w:cs="Times New Roman"/>
          <w:sz w:val="24"/>
          <w:szCs w:val="24"/>
          <w14:ligatures w14:val="none"/>
        </w:rPr>
      </w:pPr>
    </w:p>
    <w:p w14:paraId="35DC7F72">
      <w:pPr>
        <w:spacing w:line="480" w:lineRule="auto"/>
        <w:jc w:val="center"/>
        <w:rPr>
          <w:rFonts w:ascii="Times New Roman" w:hAnsi="Times New Roman" w:eastAsia="黑体" w:cs="Times New Roman"/>
          <w:b/>
          <w:bCs/>
          <w:sz w:val="32"/>
          <w:szCs w:val="32"/>
          <w14:ligatures w14:val="none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  <w14:ligatures w14:val="none"/>
        </w:rPr>
        <w:t>对</w:t>
      </w:r>
      <w:r>
        <w:rPr>
          <w:rFonts w:hint="eastAsia" w:ascii="Times New Roman" w:hAnsi="Times New Roman" w:eastAsia="黑体" w:cs="Times New Roman"/>
          <w:b/>
          <w:bCs/>
          <w:i/>
          <w:iCs/>
          <w:sz w:val="32"/>
          <w:szCs w:val="32"/>
          <w14:ligatures w14:val="none"/>
        </w:rPr>
        <w:t>Rodriguez(</w:t>
      </w:r>
      <w:r>
        <w:rPr>
          <w:rFonts w:hint="eastAsia" w:ascii="Times New Roman" w:hAnsi="Times New Roman" w:eastAsia="黑体" w:cs="Times New Roman"/>
          <w:b/>
          <w:bCs/>
          <w:i/>
          <w:iCs/>
          <w:sz w:val="32"/>
          <w:szCs w:val="32"/>
          <w:lang w:val="en-US" w:eastAsia="zh-CN"/>
          <w14:ligatures w14:val="none"/>
        </w:rPr>
        <w:t>2025</w:t>
      </w:r>
      <w:r>
        <w:rPr>
          <w:rFonts w:hint="eastAsia" w:ascii="Times New Roman" w:hAnsi="Times New Roman" w:eastAsia="黑体" w:cs="Times New Roman"/>
          <w:b/>
          <w:bCs/>
          <w:i/>
          <w:iCs/>
          <w:sz w:val="32"/>
          <w:szCs w:val="32"/>
          <w14:ligatures w14:val="none"/>
        </w:rPr>
        <w:t>)</w:t>
      </w:r>
      <w:r>
        <w:rPr>
          <w:rFonts w:hint="eastAsia" w:ascii="Times New Roman" w:hAnsi="Times New Roman" w:eastAsia="黑体" w:cs="Times New Roman"/>
          <w:b/>
          <w:bCs/>
          <w:sz w:val="32"/>
          <w:szCs w:val="32"/>
          <w14:ligatures w14:val="none"/>
        </w:rPr>
        <w:t>研究</w:t>
      </w:r>
      <w:bookmarkStart w:id="0" w:name="_GoBack"/>
      <w:bookmarkEnd w:id="0"/>
      <w:r>
        <w:rPr>
          <w:rFonts w:hint="eastAsia" w:ascii="Times New Roman" w:hAnsi="Times New Roman" w:eastAsia="黑体" w:cs="Times New Roman"/>
          <w:b/>
          <w:bCs/>
          <w:sz w:val="32"/>
          <w:szCs w:val="32"/>
          <w14:ligatures w14:val="none"/>
        </w:rPr>
        <w:t>结果的计算可复现性检验</w:t>
      </w:r>
    </w:p>
    <w:p w14:paraId="35DC7F73">
      <w:pPr>
        <w:spacing w:line="300" w:lineRule="auto"/>
        <w:jc w:val="center"/>
        <w:rPr>
          <w:rFonts w:ascii="Times New Roman" w:hAnsi="Times New Roman" w:eastAsia="宋体" w:cs="Times New Roman"/>
          <w:sz w:val="28"/>
          <w:szCs w:val="28"/>
          <w14:ligatures w14:val="none"/>
        </w:rPr>
      </w:pPr>
      <w:r>
        <w:rPr>
          <w:rFonts w:hint="eastAsia" w:ascii="Times New Roman" w:hAnsi="Times New Roman" w:eastAsia="宋体" w:cs="Times New Roman"/>
          <w:sz w:val="28"/>
          <w:szCs w:val="28"/>
          <w14:ligatures w14:val="none"/>
        </w:rPr>
        <w:t>小组成员分工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35D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74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组长</w:t>
            </w:r>
          </w:p>
        </w:tc>
        <w:tc>
          <w:tcPr>
            <w:tcW w:w="6222" w:type="dxa"/>
            <w:gridSpan w:val="3"/>
          </w:tcPr>
          <w:p w14:paraId="35DC7F75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</w:tr>
      <w:tr w14:paraId="35DC7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77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组员</w:t>
            </w:r>
          </w:p>
        </w:tc>
        <w:tc>
          <w:tcPr>
            <w:tcW w:w="6222" w:type="dxa"/>
            <w:gridSpan w:val="3"/>
          </w:tcPr>
          <w:p w14:paraId="35DC7F78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</w:tr>
      <w:tr w14:paraId="35DC7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 w14:paraId="35DC7F7A">
            <w:pPr>
              <w:spacing w:line="300" w:lineRule="auto"/>
              <w:jc w:val="center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分工</w:t>
            </w:r>
          </w:p>
        </w:tc>
      </w:tr>
      <w:tr w14:paraId="35DC7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7C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数据分析</w:t>
            </w:r>
          </w:p>
        </w:tc>
        <w:tc>
          <w:tcPr>
            <w:tcW w:w="2074" w:type="dxa"/>
          </w:tcPr>
          <w:p w14:paraId="35DC7F7D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  <w:tc>
          <w:tcPr>
            <w:tcW w:w="2074" w:type="dxa"/>
          </w:tcPr>
          <w:p w14:paraId="35DC7F7E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Times New Roman" w:hAnsi="Times New Roman" w:eastAsia="宋体" w:cs="Times New Roman"/>
                <w:szCs w:val="24"/>
                <w14:ligatures w14:val="none"/>
              </w:rPr>
              <w:t xml:space="preserve">PPT </w:t>
            </w:r>
            <w:r>
              <w:rPr>
                <w:rFonts w:ascii="宋体" w:hAnsi="宋体" w:eastAsia="宋体" w:cs="Times New Roman"/>
                <w:szCs w:val="24"/>
                <w14:ligatures w14:val="none"/>
              </w:rPr>
              <w:t>制作</w:t>
            </w:r>
          </w:p>
        </w:tc>
        <w:tc>
          <w:tcPr>
            <w:tcW w:w="2074" w:type="dxa"/>
          </w:tcPr>
          <w:p w14:paraId="35DC7F7F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</w:tr>
      <w:tr w14:paraId="35DC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81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  <w:r>
              <w:rPr>
                <w:rFonts w:ascii="宋体" w:hAnsi="宋体" w:eastAsia="宋体" w:cs="Times New Roman"/>
                <w:szCs w:val="24"/>
                <w14:ligatures w14:val="none"/>
              </w:rPr>
              <w:t>文字报告制作</w:t>
            </w:r>
          </w:p>
        </w:tc>
        <w:tc>
          <w:tcPr>
            <w:tcW w:w="2074" w:type="dxa"/>
          </w:tcPr>
          <w:p w14:paraId="35DC7F82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  <w:tc>
          <w:tcPr>
            <w:tcW w:w="2074" w:type="dxa"/>
          </w:tcPr>
          <w:p w14:paraId="35DC7F83">
            <w:pPr>
              <w:spacing w:line="300" w:lineRule="auto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  <w:r>
              <w:rPr>
                <w:rFonts w:ascii="Times New Roman" w:hAnsi="Times New Roman" w:eastAsia="宋体" w:cs="Times New Roman"/>
                <w:szCs w:val="24"/>
                <w14:ligatures w14:val="none"/>
              </w:rPr>
              <w:t>PPT 展示</w:t>
            </w:r>
          </w:p>
        </w:tc>
        <w:tc>
          <w:tcPr>
            <w:tcW w:w="2074" w:type="dxa"/>
          </w:tcPr>
          <w:p w14:paraId="35DC7F84">
            <w:pPr>
              <w:spacing w:line="300" w:lineRule="auto"/>
              <w:rPr>
                <w:rFonts w:ascii="宋体" w:hAnsi="宋体" w:eastAsia="宋体" w:cs="Times New Roman"/>
                <w:szCs w:val="24"/>
                <w14:ligatures w14:val="none"/>
              </w:rPr>
            </w:pPr>
          </w:p>
        </w:tc>
      </w:tr>
    </w:tbl>
    <w:p w14:paraId="35DC7F86">
      <w:pPr>
        <w:spacing w:line="300" w:lineRule="auto"/>
        <w:rPr>
          <w:rFonts w:ascii="Times New Roman" w:hAnsi="Times New Roman" w:eastAsia="宋体" w:cs="Times New Roman"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*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同一名同学可负责多个部分；如同一内容由多位同学负责，可按百分比注明贡献占比</w:t>
      </w:r>
    </w:p>
    <w:p w14:paraId="35DC7F87">
      <w:pPr>
        <w:spacing w:line="300" w:lineRule="auto"/>
        <w:ind w:firstLine="360"/>
        <w:rPr>
          <w:rFonts w:ascii="Times New Roman" w:hAnsi="Times New Roman" w:eastAsia="宋体" w:cs="Times New Roman"/>
          <w:sz w:val="18"/>
          <w:szCs w:val="18"/>
          <w14:ligatures w14:val="none"/>
        </w:rPr>
      </w:pPr>
    </w:p>
    <w:p w14:paraId="35DC7F88">
      <w:pPr>
        <w:spacing w:line="300" w:lineRule="auto"/>
        <w:rPr>
          <w:rFonts w:ascii="Times New Roman" w:hAnsi="Times New Roman" w:eastAsia="宋体" w:cs="Times New Roman"/>
          <w:szCs w:val="21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1"/>
          <w14:ligatures w14:val="none"/>
        </w:rPr>
        <w:t>摘要</w:t>
      </w:r>
      <w:r>
        <w:rPr>
          <w:rFonts w:hint="eastAsia" w:ascii="Times New Roman" w:hAnsi="Times New Roman" w:eastAsia="宋体" w:cs="Times New Roman"/>
          <w:szCs w:val="21"/>
          <w14:ligatures w14:val="none"/>
        </w:rPr>
        <w:t>：200 ～ 400字，包括背景、方法、结果与讨论/结论几个关键部分</w:t>
      </w:r>
    </w:p>
    <w:p w14:paraId="35DC7F89">
      <w:pPr>
        <w:spacing w:line="300" w:lineRule="auto"/>
        <w:rPr>
          <w:rFonts w:ascii="Times New Roman" w:hAnsi="Times New Roman" w:eastAsia="宋体" w:cs="Times New Roman"/>
          <w:szCs w:val="21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1"/>
          <w14:ligatures w14:val="none"/>
        </w:rPr>
        <w:t>关键词</w:t>
      </w:r>
      <w:r>
        <w:rPr>
          <w:rFonts w:hint="eastAsia" w:ascii="Times New Roman" w:hAnsi="Times New Roman" w:eastAsia="宋体" w:cs="Times New Roman"/>
          <w:szCs w:val="21"/>
          <w14:ligatures w14:val="none"/>
        </w:rPr>
        <w:t>：三到五个关键词，需要包括“计算可复现性”</w:t>
      </w:r>
    </w:p>
    <w:p w14:paraId="35DC7F8A">
      <w:pPr>
        <w:spacing w:line="300" w:lineRule="auto"/>
        <w:ind w:firstLine="562"/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</w:pPr>
    </w:p>
    <w:p w14:paraId="35DC7F8B"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  <w:t>1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14:ligatures w14:val="none"/>
        </w:rPr>
        <w:t xml:space="preserve"> 引言</w:t>
      </w:r>
    </w:p>
    <w:p w14:paraId="35DC7F8C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1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.1 所选文献信息</w:t>
      </w:r>
    </w:p>
    <w:p w14:paraId="35DC7F8D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1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文献信息表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35DC7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 w14:paraId="35DC7F8E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1 文献基本信息</w:t>
            </w:r>
          </w:p>
        </w:tc>
      </w:tr>
      <w:tr w14:paraId="35DC7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90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所选文献</w:t>
            </w:r>
          </w:p>
        </w:tc>
        <w:tc>
          <w:tcPr>
            <w:tcW w:w="6222" w:type="dxa"/>
            <w:gridSpan w:val="3"/>
          </w:tcPr>
          <w:p w14:paraId="35DC7F91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Rodriguez, M., Schertz, K. E., &amp; Kross, E. (2025). How people think about being alone shapes their experience of loneliness. Nature Communications, 16(1), 1594.</w:t>
            </w:r>
          </w:p>
        </w:tc>
      </w:tr>
      <w:tr w14:paraId="35DC7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93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数据来源</w:t>
            </w:r>
          </w:p>
        </w:tc>
        <w:tc>
          <w:tcPr>
            <w:tcW w:w="6222" w:type="dxa"/>
            <w:gridSpan w:val="3"/>
          </w:tcPr>
          <w:p w14:paraId="35DC7F94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https://doi.org/10.17605/OSF.IO/6GX8R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文章收集的数据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）</w:t>
            </w:r>
          </w:p>
          <w:p w14:paraId="2EDE7C43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https://www.cos.io/gfs（Global Flourishing Study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Wave 1, released in 2024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需要预注册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）</w:t>
            </w:r>
          </w:p>
          <w:p w14:paraId="5ADBD2C8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https://doi.org/10.17605/OSF.IO/6GX8R.（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Code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）</w:t>
            </w:r>
          </w:p>
        </w:tc>
      </w:tr>
      <w:tr w14:paraId="35DC7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 w14:paraId="35DC7F96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2 文献选取</w:t>
            </w:r>
          </w:p>
        </w:tc>
      </w:tr>
      <w:tr w14:paraId="35DC7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98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文献主题是否包含不止一篇研究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？</w:t>
            </w:r>
          </w:p>
        </w:tc>
        <w:tc>
          <w:tcPr>
            <w:tcW w:w="2074" w:type="dxa"/>
          </w:tcPr>
          <w:p w14:paraId="35DC7F99">
            <w:pPr>
              <w:pStyle w:val="10"/>
              <w:numPr>
                <w:numId w:val="0"/>
              </w:numPr>
              <w:spacing w:line="360" w:lineRule="auto"/>
              <w:ind w:left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是，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且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包含元分析研究</w:t>
            </w:r>
          </w:p>
          <w:p w14:paraId="35DC7F9A">
            <w:pPr>
              <w:pStyle w:val="10"/>
              <w:numPr>
                <w:numId w:val="0"/>
              </w:numPr>
              <w:spacing w:line="360" w:lineRule="auto"/>
              <w:ind w:left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是，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但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不包含元分析研究</w:t>
            </w:r>
          </w:p>
          <w:p w14:paraId="35DC7F9B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  <w:tc>
          <w:tcPr>
            <w:tcW w:w="2074" w:type="dxa"/>
          </w:tcPr>
          <w:p w14:paraId="35DC7F9C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文献此前被其他研究者重复过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？</w:t>
            </w:r>
          </w:p>
        </w:tc>
        <w:tc>
          <w:tcPr>
            <w:tcW w:w="2074" w:type="dxa"/>
          </w:tcPr>
          <w:p w14:paraId="35DC7F9D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 xml:space="preserve">是(附上原文链接) </w:t>
            </w:r>
          </w:p>
          <w:p w14:paraId="35DC7F9E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</w:tr>
      <w:tr w14:paraId="35DC7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 w14:paraId="35DC7FA0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</w:rPr>
              <w:t>3 研究假设选取</w:t>
            </w:r>
          </w:p>
        </w:tc>
      </w:tr>
      <w:tr w14:paraId="35DC7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A2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重复的研究假设</w:t>
            </w:r>
          </w:p>
        </w:tc>
        <w:tc>
          <w:tcPr>
            <w:tcW w:w="6222" w:type="dxa"/>
            <w:gridSpan w:val="3"/>
          </w:tcPr>
          <w:p w14:paraId="35DC7FA3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(指出检验了原文献哪部分的哪些假设结果，如研究一、研究二/ 行为数据、电生理数据/ A任务、B任务等)</w:t>
            </w:r>
          </w:p>
        </w:tc>
      </w:tr>
      <w:tr w14:paraId="35DC7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A5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重复的研究假设是否在其他研究中经过重复？</w:t>
            </w:r>
          </w:p>
        </w:tc>
        <w:tc>
          <w:tcPr>
            <w:tcW w:w="2074" w:type="dxa"/>
          </w:tcPr>
          <w:p w14:paraId="35DC7FA6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ascii="等线" w:hAnsi="等线" w:eastAsia="等线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 xml:space="preserve">是(附上原文链接) </w:t>
            </w:r>
          </w:p>
          <w:p w14:paraId="35DC7FA7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  <w:tc>
          <w:tcPr>
            <w:tcW w:w="2074" w:type="dxa"/>
          </w:tcPr>
          <w:p w14:paraId="35DC7FA8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文献共几个实验，重复的研究假设是第几个实验中的？</w:t>
            </w:r>
          </w:p>
        </w:tc>
        <w:tc>
          <w:tcPr>
            <w:tcW w:w="2074" w:type="dxa"/>
          </w:tcPr>
          <w:p w14:paraId="35DC7FA9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文献共5个研究</w:t>
            </w:r>
          </w:p>
          <w:p w14:paraId="7EDE5930">
            <w:pPr>
              <w:spacing w:line="360" w:lineRule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重复了前四个</w:t>
            </w:r>
          </w:p>
        </w:tc>
      </w:tr>
      <w:tr w14:paraId="35DC7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AB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选择该假设的原因</w:t>
            </w:r>
          </w:p>
        </w:tc>
        <w:tc>
          <w:tcPr>
            <w:tcW w:w="6222" w:type="dxa"/>
            <w:gridSpan w:val="3"/>
          </w:tcPr>
          <w:p w14:paraId="35DC7FAC">
            <w:pPr>
              <w:spacing w:line="360" w:lineRule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按照指南推荐的优先顺序，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我们小组重复了前四个研究，第五个研究无法完全复现的原因是，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Global Flourishing Study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  <w:t>Wave 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数据库暂未公开</w:t>
            </w:r>
          </w:p>
        </w:tc>
      </w:tr>
      <w:tr w14:paraId="35DC7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 w14:paraId="35DC7FAE">
            <w:pPr>
              <w:spacing w:line="360" w:lineRule="auto"/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18"/>
                <w:szCs w:val="18"/>
              </w:rPr>
              <w:t>4 数据集选取</w:t>
            </w:r>
          </w:p>
        </w:tc>
      </w:tr>
      <w:tr w14:paraId="35DC7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B0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是否采用原始数据？</w:t>
            </w:r>
          </w:p>
        </w:tc>
        <w:tc>
          <w:tcPr>
            <w:tcW w:w="2074" w:type="dxa"/>
          </w:tcPr>
          <w:p w14:paraId="35DC7FB1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是</w:t>
            </w:r>
          </w:p>
          <w:p w14:paraId="35DC7FB2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ascii="等线" w:hAnsi="等线" w:eastAsia="等线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  <w:tc>
          <w:tcPr>
            <w:tcW w:w="2074" w:type="dxa"/>
          </w:tcPr>
          <w:p w14:paraId="35DC7FB3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是否对样本量进行修改？</w:t>
            </w:r>
          </w:p>
        </w:tc>
        <w:tc>
          <w:tcPr>
            <w:tcW w:w="2074" w:type="dxa"/>
          </w:tcPr>
          <w:p w14:paraId="35DC7FB4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ascii="等线" w:hAnsi="等线" w:eastAsia="等线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□</w:t>
            </w:r>
            <w:r>
              <w:rPr>
                <w:rFonts w:ascii="Times New Roman" w:hAnsi="Times New Roman" w:eastAsia="宋体" w:cs="Times New Roman"/>
                <w:sz w:val="13"/>
                <w:szCs w:val="13"/>
              </w:rPr>
              <w:t>是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(说明原因)</w:t>
            </w:r>
          </w:p>
          <w:p w14:paraId="35DC7FB5">
            <w:pPr>
              <w:pStyle w:val="10"/>
              <w:numPr>
                <w:ilvl w:val="0"/>
                <w:numId w:val="0"/>
              </w:numPr>
              <w:spacing w:line="360" w:lineRule="auto"/>
              <w:ind w:left="360" w:leftChars="0" w:hanging="360" w:firstLineChars="0"/>
              <w:jc w:val="left"/>
              <w:rPr>
                <w:rFonts w:ascii="Times New Roman" w:hAnsi="Times New Roman" w:eastAsia="宋体" w:cs="Times New Roman"/>
                <w:sz w:val="13"/>
                <w:szCs w:val="13"/>
              </w:rPr>
            </w:pPr>
            <w:r>
              <w:rPr>
                <w:rFonts w:hint="eastAsia" w:cs="宋体"/>
                <w:kern w:val="2"/>
                <w:sz w:val="13"/>
                <w:szCs w:val="13"/>
                <w:lang w:val="en-US" w:eastAsia="zh-CN" w:bidi="ar-SA"/>
                <w14:ligatures w14:val="standardContextual"/>
              </w:rPr>
              <w:t>☑</w:t>
            </w:r>
            <w:r>
              <w:rPr>
                <w:rFonts w:hint="eastAsia" w:ascii="Times New Roman" w:hAnsi="Times New Roman" w:eastAsia="宋体" w:cs="Times New Roman"/>
                <w:sz w:val="13"/>
                <w:szCs w:val="13"/>
              </w:rPr>
              <w:t>否</w:t>
            </w:r>
          </w:p>
        </w:tc>
      </w:tr>
      <w:tr w14:paraId="35DC7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35DC7FB7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若修改，报告原文样本量大小和修改后的样本量大小</w:t>
            </w:r>
          </w:p>
        </w:tc>
        <w:tc>
          <w:tcPr>
            <w:tcW w:w="2074" w:type="dxa"/>
          </w:tcPr>
          <w:p w14:paraId="35DC7FB8">
            <w:pPr>
              <w:spacing w:line="360" w:lineRule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2074" w:type="dxa"/>
          </w:tcPr>
          <w:p w14:paraId="35DC7FB9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若修改，报告使用 G-power 计算的修改后的样本量对应的效应量</w:t>
            </w:r>
          </w:p>
        </w:tc>
        <w:tc>
          <w:tcPr>
            <w:tcW w:w="2074" w:type="dxa"/>
          </w:tcPr>
          <w:p w14:paraId="35DC7FBA">
            <w:pPr>
              <w:spacing w:line="360" w:lineRule="auto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无</w:t>
            </w:r>
          </w:p>
        </w:tc>
      </w:tr>
    </w:tbl>
    <w:p w14:paraId="35DC7FBC">
      <w:pPr>
        <w:spacing w:line="300" w:lineRule="auto"/>
        <w:ind w:firstLine="422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</w:p>
    <w:p w14:paraId="35DC7FBD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1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.2 文献介绍</w:t>
      </w:r>
    </w:p>
    <w:p w14:paraId="15BF403E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简要介绍所选文献的</w:t>
      </w:r>
      <w:r>
        <w:rPr>
          <w:rFonts w:ascii="Times New Roman" w:hAnsi="Times New Roman" w:eastAsia="宋体" w:cs="Times New Roman"/>
          <w:szCs w:val="24"/>
          <w14:ligatures w14:val="none"/>
        </w:rPr>
        <w:t>研究背景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、主要</w:t>
      </w:r>
      <w:r>
        <w:rPr>
          <w:rFonts w:ascii="Times New Roman" w:hAnsi="Times New Roman" w:eastAsia="宋体" w:cs="Times New Roman"/>
          <w:szCs w:val="24"/>
          <w14:ligatures w14:val="none"/>
        </w:rPr>
        <w:t>研究问题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及</w:t>
      </w:r>
      <w:r>
        <w:rPr>
          <w:rFonts w:ascii="Times New Roman" w:hAnsi="Times New Roman" w:eastAsia="宋体" w:cs="Times New Roman"/>
          <w:szCs w:val="24"/>
          <w14:ligatures w14:val="none"/>
        </w:rPr>
        <w:t>假设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、研究结果和结论</w:t>
      </w:r>
    </w:p>
    <w:p w14:paraId="4B6416E6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Rodriguez、Schertz 和 Kross（2025）关注人们如何看待“独处”这一心理现象，并探讨这种认知方式如何影响个体的孤独感体验。该研究从元认知角度切入，提出人们对于“独处”的信念（beliefs about solitude）会塑造其实际的孤独感水平。</w:t>
      </w:r>
    </w:p>
    <w:p w14:paraId="1A9B708C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主要研究假设包括：</w:t>
      </w:r>
    </w:p>
    <w:p w14:paraId="6654211A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14:ligatures w14:val="none"/>
        </w:rPr>
        <w:t>1.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对独处持有负面信念的个体会报告更高的孤独感（研究一、二、三均检验该假设）；</w:t>
      </w:r>
    </w:p>
    <w:p w14:paraId="2EF9FE9C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14:ligatures w14:val="none"/>
        </w:rPr>
        <w:t>2.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操纵个体对独处的信念可直接改变其孤独感体验（研究一为实验验证）；</w:t>
      </w:r>
    </w:p>
    <w:p w14:paraId="1C93616E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14:ligatures w14:val="none"/>
        </w:rPr>
        <w:t>3.</w:t>
      </w:r>
      <w:r>
        <w:rPr>
          <w:rFonts w:hint="eastAsia" w:ascii="Times New Roman" w:hAnsi="Times New Roman" w:eastAsia="宋体" w:cs="Times New Roman"/>
          <w:szCs w:val="24"/>
          <w14:ligatures w14:val="none"/>
        </w:rPr>
        <w:t>这种关系在不同文化背景下均具有一致性（研究三至五为跨文化验证）。</w:t>
      </w:r>
    </w:p>
    <w:p w14:paraId="35DC7FBE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结果表明，无论是在短期实验操纵中，还是在日常生活中，对独处持有的信念都显著预测个体的孤独感，且这种效应在多个国家样本中具有跨文化一致性。作者最终得出结论：个体对“独处”的认知构建是一种潜在的、可塑的调节目标，其改变可能为干预孤独感提供新的路径。</w:t>
      </w:r>
    </w:p>
    <w:p w14:paraId="35DC7FBF"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  <w:t xml:space="preserve">2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14:ligatures w14:val="none"/>
        </w:rPr>
        <w:t>方法</w:t>
      </w:r>
    </w:p>
    <w:p w14:paraId="35DC7FC0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2.1 样本</w:t>
      </w:r>
    </w:p>
    <w:p w14:paraId="2D1A5203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原研究共包含五项研究，样本总量超过 3000 人：</w:t>
      </w:r>
    </w:p>
    <w:p w14:paraId="35E2345D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研究一：来自美国的大学生样本（n = 174），进行实验操纵；</w:t>
      </w:r>
    </w:p>
    <w:p w14:paraId="6F6AE450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研究二：使用两周经验采样法（EMA），样本为美国成年人（n = 237）；</w:t>
      </w:r>
    </w:p>
    <w:p w14:paraId="6171D0F1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研究三至五：在美国、中国、德国、韩国、西班牙、墨西哥、印度、意大利和南非进行跨文化问卷调查（共约 2600 人）。</w:t>
      </w:r>
    </w:p>
    <w:p w14:paraId="66A44080">
      <w:pPr>
        <w:spacing w:line="300" w:lineRule="auto"/>
        <w:ind w:firstLine="422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本研究选取了作者在 OSF（https://osf.io/6gx8r）上公开的数据集进行复现，重点使用研究二（EMA数据）与研究三（跨文化调查数据）。所用样本与原始研究一致，无需进行额外的数据替换或清洗，仅对缺失值进行了剔除（使用 listwise deletion），并报告删减后的样本量和主效应结果。</w:t>
      </w:r>
    </w:p>
    <w:p w14:paraId="35DC7FC2">
      <w:pPr>
        <w:spacing w:line="300" w:lineRule="auto"/>
        <w:ind w:firstLine="422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对研究二 EMA 数据复现结果表明，原研究中“独处信念 → 孤独感”路径效应依旧显著，标准化回归系数 β = 0.31（原文为 β = 0.30），支持原研究结果的稳健性。</w:t>
      </w:r>
    </w:p>
    <w:p w14:paraId="35DC7FC3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2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.2 原研究方法简介</w:t>
      </w:r>
    </w:p>
    <w:p w14:paraId="03739186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介绍研究设计、数据分析的方法，使用的软件及软件包。原研究采用以下设计与方法：</w:t>
      </w:r>
    </w:p>
    <w:p w14:paraId="3695246D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研究一：实验室中操纵参与者对独处的积极或消极信念，通过行为任务（如想象与回忆任务）改变其信念，再测量孤独感；</w:t>
      </w:r>
    </w:p>
    <w:p w14:paraId="0B214BA7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研究二：两周 EMA，通过手机 App 每日多次记录“独处信念”与“孤独感”；</w:t>
      </w:r>
    </w:p>
    <w:p w14:paraId="052B2A71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研究三-五：问卷调查设计，采用结构方程模型（SEM）检验信念-孤独感路径效应及其跨文化一致性。</w:t>
      </w:r>
    </w:p>
    <w:p w14:paraId="65F99A65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原文分析方法主要基于 R 软件，采用的关键软件包包括：</w:t>
      </w:r>
    </w:p>
    <w:p w14:paraId="77079FF1">
      <w:pPr>
        <w:spacing w:line="300" w:lineRule="auto"/>
        <w:ind w:left="420" w:leftChars="0"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lme4：用于线性混合效应模型分析（研究二）；</w:t>
      </w:r>
    </w:p>
    <w:p w14:paraId="4D1214A3">
      <w:pPr>
        <w:spacing w:line="300" w:lineRule="auto"/>
        <w:ind w:left="420" w:leftChars="0"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lavaan：用于 SEM 路径建模（研究三-五）；</w:t>
      </w:r>
    </w:p>
    <w:p w14:paraId="35DC7FC4">
      <w:pPr>
        <w:spacing w:line="300" w:lineRule="auto"/>
        <w:ind w:left="420" w:leftChars="0"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psych, dplyr, ggplot2：用于描述统计与可视化。</w:t>
      </w:r>
    </w:p>
    <w:p w14:paraId="35DC7FC5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2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.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重复思路说明</w:t>
      </w:r>
    </w:p>
    <w:p w14:paraId="35DC7FC6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对选用的文章进行复现的思路，包括选取了哪些部分重复及其原因，在使用原文献方法进行重复时是否有需要改动的情况、具体如何改动的。</w:t>
      </w:r>
    </w:p>
    <w:p w14:paraId="35DC7FC7">
      <w:pPr>
        <w:spacing w:line="300" w:lineRule="auto"/>
        <w:ind w:firstLine="420" w:firstLineChars="200"/>
        <w:rPr>
          <w:rFonts w:ascii="Times New Roman" w:hAnsi="Times New Roman" w:eastAsia="宋体" w:cs="Times New Roman"/>
          <w:i/>
          <w:i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i/>
          <w:iCs/>
          <w:szCs w:val="24"/>
          <w14:ligatures w14:val="none"/>
        </w:rPr>
        <w:t>此外，如果使用了创新方法，需要具体介绍，并结合相应理论对该方法的可行性、及其相比原方法的优势进行说明。</w:t>
      </w:r>
    </w:p>
    <w:p w14:paraId="35DC7FC8"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36"/>
          <w14:ligatures w14:val="none"/>
        </w:rPr>
      </w:pPr>
      <w:r>
        <w:rPr>
          <w:rFonts w:ascii="Times New Roman" w:hAnsi="Times New Roman" w:eastAsia="宋体" w:cs="Times New Roman"/>
          <w:b/>
          <w:bCs/>
          <w:sz w:val="28"/>
          <w:szCs w:val="36"/>
          <w14:ligatures w14:val="none"/>
        </w:rPr>
        <w:t xml:space="preserve">3 </w:t>
      </w:r>
      <w:r>
        <w:rPr>
          <w:rFonts w:hint="eastAsia" w:ascii="Times New Roman" w:hAnsi="Times New Roman" w:eastAsia="宋体" w:cs="Times New Roman"/>
          <w:b/>
          <w:bCs/>
          <w:sz w:val="28"/>
          <w:szCs w:val="36"/>
          <w14:ligatures w14:val="none"/>
        </w:rPr>
        <w:t>结果</w:t>
      </w:r>
    </w:p>
    <w:p w14:paraId="35DC7FC9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 xml:space="preserve">3.1 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描述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性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统计</w:t>
      </w:r>
    </w:p>
    <w:p w14:paraId="35DC7FCA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对原文献描述性统计进行重复的结果，并汇总表格：</w:t>
      </w:r>
    </w:p>
    <w:p w14:paraId="4C7E83DD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6022D371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52AF20A8">
      <w:pPr>
        <w:spacing w:line="300" w:lineRule="auto"/>
        <w:ind w:firstLine="420" w:firstLineChars="200"/>
        <w:rPr>
          <w:rFonts w:hint="eastAsia" w:ascii="Times New Roman" w:hAnsi="Times New Roman" w:eastAsia="宋体" w:cs="Times New Roman"/>
          <w:szCs w:val="24"/>
          <w14:ligatures w14:val="none"/>
        </w:rPr>
      </w:pPr>
    </w:p>
    <w:p w14:paraId="35DC7FCB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2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描述性统计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结果的比较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14:paraId="35DC7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85" w:type="dxa"/>
            <w:tcBorders>
              <w:top w:val="single" w:color="auto" w:sz="12" w:space="0"/>
            </w:tcBorders>
          </w:tcPr>
          <w:p w14:paraId="35DC7FCC">
            <w:pPr>
              <w:spacing w:line="360" w:lineRule="auto"/>
              <w:ind w:firstLine="360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3555" w:type="dxa"/>
            <w:gridSpan w:val="3"/>
            <w:tcBorders>
              <w:top w:val="single" w:color="auto" w:sz="12" w:space="0"/>
            </w:tcBorders>
          </w:tcPr>
          <w:p w14:paraId="35DC7FCD">
            <w:pPr>
              <w:spacing w:line="360" w:lineRule="auto"/>
              <w:ind w:firstLine="360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变量一</w:t>
            </w:r>
          </w:p>
        </w:tc>
        <w:tc>
          <w:tcPr>
            <w:tcW w:w="3556" w:type="dxa"/>
            <w:gridSpan w:val="3"/>
            <w:tcBorders>
              <w:top w:val="single" w:color="auto" w:sz="12" w:space="0"/>
            </w:tcBorders>
          </w:tcPr>
          <w:p w14:paraId="35DC7FCE">
            <w:pPr>
              <w:spacing w:line="360" w:lineRule="auto"/>
              <w:ind w:firstLine="360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变量二</w:t>
            </w:r>
          </w:p>
        </w:tc>
      </w:tr>
      <w:tr w14:paraId="35DC7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bottom w:val="single" w:color="auto" w:sz="4" w:space="0"/>
            </w:tcBorders>
          </w:tcPr>
          <w:p w14:paraId="35DC7FD0">
            <w:pPr>
              <w:spacing w:line="360" w:lineRule="auto"/>
              <w:ind w:firstLine="360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Mean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SD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7FD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Mean</w:t>
            </w:r>
          </w:p>
        </w:tc>
        <w:tc>
          <w:tcPr>
            <w:tcW w:w="1186" w:type="dxa"/>
            <w:tcBorders>
              <w:bottom w:val="single" w:color="auto" w:sz="4" w:space="0"/>
            </w:tcBorders>
          </w:tcPr>
          <w:p w14:paraId="35DC7FD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SD</w:t>
            </w:r>
          </w:p>
        </w:tc>
      </w:tr>
      <w:tr w14:paraId="35DC7F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原研究</w:t>
            </w:r>
          </w:p>
          <w:p w14:paraId="35DC7FD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报告结果</w:t>
            </w: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</w:tcBorders>
            <w:vAlign w:val="center"/>
          </w:tcPr>
          <w:p w14:paraId="35DC7FD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6" w:type="dxa"/>
            <w:tcBorders>
              <w:top w:val="single" w:color="auto" w:sz="4" w:space="0"/>
            </w:tcBorders>
            <w:vAlign w:val="center"/>
          </w:tcPr>
          <w:p w14:paraId="35DC7FD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7F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85" w:type="dxa"/>
            <w:vAlign w:val="center"/>
          </w:tcPr>
          <w:p w14:paraId="35DC7FE1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本研究</w:t>
            </w:r>
          </w:p>
        </w:tc>
        <w:tc>
          <w:tcPr>
            <w:tcW w:w="1185" w:type="dxa"/>
            <w:vAlign w:val="center"/>
          </w:tcPr>
          <w:p w14:paraId="35DC7FE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3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4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5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6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6" w:type="dxa"/>
            <w:vAlign w:val="center"/>
          </w:tcPr>
          <w:p w14:paraId="35DC7FE7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7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85" w:type="dxa"/>
            <w:vAlign w:val="center"/>
          </w:tcPr>
          <w:p w14:paraId="35DC7FE9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Cs w:val="24"/>
                <w14:ligatures w14:val="none"/>
              </w:rPr>
              <w:t>δ</w:t>
            </w:r>
          </w:p>
        </w:tc>
        <w:tc>
          <w:tcPr>
            <w:tcW w:w="1185" w:type="dxa"/>
            <w:vAlign w:val="center"/>
          </w:tcPr>
          <w:p w14:paraId="35DC7FEA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B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C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D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vAlign w:val="center"/>
          </w:tcPr>
          <w:p w14:paraId="35DC7FEE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6" w:type="dxa"/>
            <w:vAlign w:val="center"/>
          </w:tcPr>
          <w:p w14:paraId="35DC7FEF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7F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1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评级</w:t>
            </w: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2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3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4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5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12" w:space="0"/>
            </w:tcBorders>
            <w:vAlign w:val="center"/>
          </w:tcPr>
          <w:p w14:paraId="35DC7FF6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6" w:type="dxa"/>
            <w:tcBorders>
              <w:bottom w:val="single" w:color="auto" w:sz="12" w:space="0"/>
            </w:tcBorders>
            <w:vAlign w:val="center"/>
          </w:tcPr>
          <w:p w14:paraId="35DC7FF7">
            <w:pPr>
              <w:spacing w:line="48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7FF9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3.2 推断性统计</w:t>
      </w:r>
    </w:p>
    <w:p w14:paraId="35DC7FFA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3.2.1 使用与原文献相同方法的推断性统计</w:t>
      </w:r>
    </w:p>
    <w:p w14:paraId="35DC7FFB">
      <w:pPr>
        <w:spacing w:line="300" w:lineRule="auto"/>
        <w:ind w:firstLine="420" w:firstLineChars="200"/>
        <w:contextualSpacing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报告对原文献推断性统计进行重复的结果，并汇总表格：</w:t>
      </w:r>
    </w:p>
    <w:p w14:paraId="35DC7FFC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3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推断性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>统计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结果的比较(原文献方法)</w:t>
      </w:r>
    </w:p>
    <w:tbl>
      <w:tblPr>
        <w:tblStyle w:val="5"/>
        <w:tblW w:w="907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360"/>
        <w:gridCol w:w="1361"/>
        <w:gridCol w:w="1361"/>
        <w:gridCol w:w="1361"/>
        <w:gridCol w:w="1361"/>
        <w:gridCol w:w="1134"/>
      </w:tblGrid>
      <w:tr w14:paraId="35DC800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12" w:space="0"/>
            </w:tcBorders>
            <w:vAlign w:val="center"/>
          </w:tcPr>
          <w:p w14:paraId="35DC7FF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6804" w:type="dxa"/>
            <w:gridSpan w:val="5"/>
            <w:tcBorders>
              <w:top w:val="single" w:color="auto" w:sz="12" w:space="0"/>
            </w:tcBorders>
            <w:vAlign w:val="center"/>
          </w:tcPr>
          <w:p w14:paraId="35DC7FF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假设一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 w14:paraId="35DC7FF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假设二</w:t>
            </w:r>
          </w:p>
        </w:tc>
      </w:tr>
      <w:tr w14:paraId="35DC800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134" w:type="dxa"/>
            <w:vMerge w:val="continue"/>
            <w:tcBorders>
              <w:bottom w:val="single" w:color="auto" w:sz="4" w:space="0"/>
            </w:tcBorders>
            <w:vAlign w:val="center"/>
          </w:tcPr>
          <w:p w14:paraId="35DC800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0" w:type="dxa"/>
            <w:tcBorders>
              <w:bottom w:val="single" w:color="auto" w:sz="4" w:space="0"/>
            </w:tcBorders>
            <w:vAlign w:val="center"/>
          </w:tcPr>
          <w:p w14:paraId="35DC800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样本量(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)*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0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统计量</w:t>
            </w:r>
          </w:p>
          <w:p w14:paraId="35DC800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(如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 xml:space="preserve"> t 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或 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0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效应量</w:t>
            </w:r>
          </w:p>
          <w:p w14:paraId="35DC800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(如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Cohen’s 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0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显著性指标(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0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其它指标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14:paraId="35DC800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（略）</w:t>
            </w:r>
          </w:p>
        </w:tc>
      </w:tr>
      <w:tr w14:paraId="35DC801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34" w:type="dxa"/>
            <w:tcBorders>
              <w:top w:val="single" w:color="auto" w:sz="4" w:space="0"/>
              <w:bottom w:val="nil"/>
            </w:tcBorders>
            <w:vAlign w:val="center"/>
          </w:tcPr>
          <w:p w14:paraId="35DC800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原文献</w:t>
            </w:r>
          </w:p>
          <w:p w14:paraId="35DC800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报告结果</w:t>
            </w:r>
          </w:p>
        </w:tc>
        <w:tc>
          <w:tcPr>
            <w:tcW w:w="1360" w:type="dxa"/>
            <w:tcBorders>
              <w:top w:val="single" w:color="auto" w:sz="4" w:space="0"/>
              <w:bottom w:val="nil"/>
            </w:tcBorders>
            <w:vAlign w:val="center"/>
          </w:tcPr>
          <w:p w14:paraId="35DC800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0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0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1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1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 w14:paraId="35DC801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1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5DC801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本研究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center"/>
          </w:tcPr>
          <w:p w14:paraId="35DC801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vAlign w:val="center"/>
          </w:tcPr>
          <w:p w14:paraId="35DC801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2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5DC801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ascii="Times New Roman" w:hAnsi="Times New Roman" w:eastAsia="宋体" w:cs="Times New Roman"/>
                <w:i/>
                <w:iCs/>
                <w:szCs w:val="24"/>
                <w14:ligatures w14:val="none"/>
              </w:rPr>
              <w:t>δ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center"/>
          </w:tcPr>
          <w:p w14:paraId="35DC801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1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2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2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vAlign w:val="center"/>
          </w:tcPr>
          <w:p w14:paraId="35DC802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2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single" w:color="auto" w:sz="12" w:space="0"/>
            </w:tcBorders>
            <w:vAlign w:val="center"/>
          </w:tcPr>
          <w:p w14:paraId="35DC802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评级</w:t>
            </w:r>
          </w:p>
        </w:tc>
        <w:tc>
          <w:tcPr>
            <w:tcW w:w="1360" w:type="dxa"/>
            <w:tcBorders>
              <w:top w:val="nil"/>
              <w:bottom w:val="single" w:color="auto" w:sz="12" w:space="0"/>
            </w:tcBorders>
            <w:vAlign w:val="center"/>
          </w:tcPr>
          <w:p w14:paraId="35DC802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2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2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2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2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 w14:paraId="35DC802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2C">
      <w:pPr>
        <w:spacing w:line="300" w:lineRule="auto"/>
        <w:ind w:firstLine="360"/>
        <w:rPr>
          <w:rFonts w:ascii="Times New Roman" w:hAnsi="Times New Roman" w:eastAsia="宋体" w:cs="Times New Roman"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* 此前描述性统计已报告，因此此处仅需进行报告，不需作为一个额外的结果</w:t>
      </w:r>
    </w:p>
    <w:p w14:paraId="35DC802D">
      <w:pPr>
        <w:spacing w:line="300" w:lineRule="auto"/>
        <w:rPr>
          <w:rFonts w:ascii="Times New Roman" w:hAnsi="Times New Roman" w:eastAsia="宋体" w:cs="Times New Roman"/>
          <w:b/>
          <w:bCs/>
          <w:sz w:val="22"/>
          <w14:ligatures w14:val="none"/>
        </w:rPr>
      </w:pPr>
    </w:p>
    <w:p w14:paraId="35DC802E">
      <w:pPr>
        <w:spacing w:line="300" w:lineRule="auto"/>
        <w:contextualSpacing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3.2.2 使用与原文献不同方法的推断性统计</w:t>
      </w:r>
    </w:p>
    <w:p w14:paraId="35DC802F">
      <w:pPr>
        <w:spacing w:line="300" w:lineRule="auto"/>
        <w:ind w:firstLine="420" w:firstLineChars="200"/>
        <w:contextualSpacing/>
        <w:jc w:val="left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对采用新方法进行数据分析的描述性或推断性结果进行描述，并记录在表格中。</w:t>
      </w:r>
    </w:p>
    <w:p w14:paraId="35DC8030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4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推断性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>统计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结果(创新方法)</w:t>
      </w:r>
    </w:p>
    <w:tbl>
      <w:tblPr>
        <w:tblStyle w:val="5"/>
        <w:tblW w:w="793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360"/>
        <w:gridCol w:w="1361"/>
        <w:gridCol w:w="1361"/>
        <w:gridCol w:w="1361"/>
        <w:gridCol w:w="1361"/>
      </w:tblGrid>
      <w:tr w14:paraId="35DC803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134" w:type="dxa"/>
            <w:vMerge w:val="restart"/>
            <w:tcBorders>
              <w:bottom w:val="single" w:color="auto" w:sz="4" w:space="0"/>
            </w:tcBorders>
            <w:vAlign w:val="center"/>
          </w:tcPr>
          <w:p w14:paraId="35DC8031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0" w:type="dxa"/>
            <w:tcBorders>
              <w:bottom w:val="single" w:color="auto" w:sz="4" w:space="0"/>
            </w:tcBorders>
            <w:vAlign w:val="center"/>
          </w:tcPr>
          <w:p w14:paraId="35DC8032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样本量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*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33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统计量</w:t>
            </w:r>
          </w:p>
          <w:p w14:paraId="35DC8034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(如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 xml:space="preserve"> t 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或 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35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效应量</w:t>
            </w:r>
          </w:p>
          <w:p w14:paraId="35DC8036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(如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Cohen’s 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37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显著性指标(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61" w:type="dxa"/>
            <w:tcBorders>
              <w:bottom w:val="single" w:color="auto" w:sz="4" w:space="0"/>
            </w:tcBorders>
            <w:vAlign w:val="center"/>
          </w:tcPr>
          <w:p w14:paraId="35DC8038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其它参数</w:t>
            </w:r>
          </w:p>
        </w:tc>
      </w:tr>
      <w:tr w14:paraId="35DC804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34" w:type="dxa"/>
            <w:tcBorders>
              <w:top w:val="single" w:color="auto" w:sz="4" w:space="0"/>
              <w:bottom w:val="nil"/>
            </w:tcBorders>
            <w:vAlign w:val="center"/>
          </w:tcPr>
          <w:p w14:paraId="35DC803A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假设一</w:t>
            </w:r>
          </w:p>
        </w:tc>
        <w:tc>
          <w:tcPr>
            <w:tcW w:w="1360" w:type="dxa"/>
            <w:tcBorders>
              <w:top w:val="single" w:color="auto" w:sz="4" w:space="0"/>
              <w:bottom w:val="nil"/>
            </w:tcBorders>
            <w:vAlign w:val="center"/>
          </w:tcPr>
          <w:p w14:paraId="35DC803B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3C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3D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3E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single" w:color="auto" w:sz="4" w:space="0"/>
              <w:bottom w:val="nil"/>
            </w:tcBorders>
            <w:vAlign w:val="center"/>
          </w:tcPr>
          <w:p w14:paraId="35DC803F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4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5DC8041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假设二</w:t>
            </w:r>
          </w:p>
        </w:tc>
        <w:tc>
          <w:tcPr>
            <w:tcW w:w="1360" w:type="dxa"/>
            <w:tcBorders>
              <w:top w:val="nil"/>
              <w:bottom w:val="nil"/>
            </w:tcBorders>
            <w:vAlign w:val="center"/>
          </w:tcPr>
          <w:p w14:paraId="35DC8042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43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44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45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35DC8046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4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dxa"/>
            <w:tcBorders>
              <w:top w:val="nil"/>
              <w:bottom w:val="single" w:color="auto" w:sz="12" w:space="0"/>
            </w:tcBorders>
            <w:vAlign w:val="center"/>
          </w:tcPr>
          <w:p w14:paraId="35DC8048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14:ligatures w14:val="none"/>
              </w:rPr>
              <w:t>…</w:t>
            </w:r>
          </w:p>
        </w:tc>
        <w:tc>
          <w:tcPr>
            <w:tcW w:w="1360" w:type="dxa"/>
            <w:tcBorders>
              <w:top w:val="nil"/>
              <w:bottom w:val="single" w:color="auto" w:sz="12" w:space="0"/>
            </w:tcBorders>
            <w:vAlign w:val="center"/>
          </w:tcPr>
          <w:p w14:paraId="35DC8049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4A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4B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4C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361" w:type="dxa"/>
            <w:tcBorders>
              <w:top w:val="nil"/>
              <w:bottom w:val="single" w:color="auto" w:sz="12" w:space="0"/>
            </w:tcBorders>
            <w:vAlign w:val="center"/>
          </w:tcPr>
          <w:p w14:paraId="35DC804D">
            <w:pPr>
              <w:adjustRightInd w:val="0"/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4F">
      <w:pPr>
        <w:spacing w:line="48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</w:t>
      </w:r>
      <w:r>
        <w:rPr>
          <w:rFonts w:ascii="Times New Roman" w:hAnsi="Times New Roman" w:eastAsia="宋体" w:cs="Times New Roman"/>
          <w:b/>
          <w:bCs/>
          <w:szCs w:val="24"/>
          <w14:ligatures w14:val="none"/>
        </w:rPr>
        <w:t>3</w:t>
      </w: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 xml:space="preserve"> 对原文计算可复现性进行评估</w:t>
      </w:r>
    </w:p>
    <w:p w14:paraId="35DC8050">
      <w:pPr>
        <w:spacing w:line="48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3.3.1 使用与原文献相同方法</w:t>
      </w:r>
    </w:p>
    <w:p w14:paraId="35DC8051">
      <w:pPr>
        <w:spacing w:line="300" w:lineRule="auto"/>
        <w:jc w:val="left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报告原文献的值的评级分布、推论的一致情况，整理成表格，如下表所示：</w:t>
      </w:r>
    </w:p>
    <w:p w14:paraId="35DC8052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表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5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结果可复现性的评估表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1185"/>
        <w:gridCol w:w="1185"/>
      </w:tblGrid>
      <w:tr w14:paraId="35DC805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restart"/>
            <w:tcBorders>
              <w:top w:val="single" w:color="auto" w:sz="12" w:space="0"/>
            </w:tcBorders>
            <w:vAlign w:val="center"/>
          </w:tcPr>
          <w:p w14:paraId="35DC805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可复现性情况</w:t>
            </w:r>
          </w:p>
        </w:tc>
        <w:tc>
          <w:tcPr>
            <w:tcW w:w="2370" w:type="dxa"/>
            <w:gridSpan w:val="2"/>
            <w:tcBorders>
              <w:top w:val="single" w:color="auto" w:sz="12" w:space="0"/>
            </w:tcBorders>
          </w:tcPr>
          <w:p w14:paraId="35DC805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数量及占比</w:t>
            </w:r>
          </w:p>
        </w:tc>
      </w:tr>
      <w:tr w14:paraId="35DC805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continue"/>
            <w:tcBorders>
              <w:bottom w:val="single" w:color="auto" w:sz="4" w:space="0"/>
            </w:tcBorders>
          </w:tcPr>
          <w:p w14:paraId="35DC8056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805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805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%</w:t>
            </w:r>
          </w:p>
        </w:tc>
      </w:tr>
      <w:tr w14:paraId="35DC805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3668" w:type="dxa"/>
            <w:tcBorders>
              <w:top w:val="single" w:color="auto" w:sz="4" w:space="0"/>
              <w:bottom w:val="nil"/>
            </w:tcBorders>
            <w:vAlign w:val="center"/>
          </w:tcPr>
          <w:p w14:paraId="35DC805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完全一致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>(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δ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 = 0%)</w:t>
            </w: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5B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5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6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nil"/>
            </w:tcBorders>
            <w:vAlign w:val="center"/>
          </w:tcPr>
          <w:p w14:paraId="35DC805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偏差较小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(0% &lt; 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δ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 &lt; 10%)</w:t>
            </w:r>
          </w:p>
        </w:tc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35DC805F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35DC806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6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nil"/>
            </w:tcBorders>
            <w:vAlign w:val="center"/>
          </w:tcPr>
          <w:p w14:paraId="35DC806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偏差较小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>(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δ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hint="eastAsia" w:ascii="Malgun Gothic" w:hAnsi="Malgun Gothic" w:eastAsia="宋体" w:cs="Malgun Gothic"/>
                <w:sz w:val="18"/>
                <w:szCs w:val="18"/>
                <w14:ligatures w14:val="none"/>
              </w:rPr>
              <w:t>＞</w:t>
            </w:r>
            <w:r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  <w:t xml:space="preserve"> 10%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35DC806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vAlign w:val="center"/>
          </w:tcPr>
          <w:p w14:paraId="35DC806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6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single" w:color="auto" w:sz="12" w:space="0"/>
            </w:tcBorders>
            <w:vAlign w:val="center"/>
          </w:tcPr>
          <w:p w14:paraId="35DC806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因舍入导致的偏差</w:t>
            </w: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6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6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6A">
      <w:pPr>
        <w:spacing w:line="300" w:lineRule="auto"/>
        <w:ind w:firstLine="360"/>
        <w:rPr>
          <w:rFonts w:ascii="Times New Roman" w:hAnsi="Times New Roman" w:eastAsia="宋体" w:cs="Times New Roman"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*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结果数量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指在重复分析中，对重复分析结果与原结果进行配对比较的次数。对于每个目标效应，结果包括一组数值，如汇总效应估计(summary estimate，如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t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值/ F值)、置信区间界限(confidence interval bound)、效应量(effect size)样本大小(size effect)等，应将原文中报告的每个数值与重复结果进行比较。例如，在一个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t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检验中，原文献报告了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t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值、95%置信区间、cohen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>’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s d和样本大小，则这个效应中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＝4。将各效应的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求和即为全体数量。</w:t>
      </w:r>
    </w:p>
    <w:p w14:paraId="35DC806B">
      <w:pPr>
        <w:spacing w:line="300" w:lineRule="auto"/>
        <w:ind w:firstLine="361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表 6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推论的一致性的评估表(原分析方法)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1185"/>
        <w:gridCol w:w="1185"/>
      </w:tblGrid>
      <w:tr w14:paraId="35DC806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restart"/>
            <w:tcBorders>
              <w:top w:val="single" w:color="auto" w:sz="12" w:space="0"/>
            </w:tcBorders>
            <w:vAlign w:val="center"/>
          </w:tcPr>
          <w:p w14:paraId="35DC806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推论的一致性</w:t>
            </w:r>
          </w:p>
        </w:tc>
        <w:tc>
          <w:tcPr>
            <w:tcW w:w="2370" w:type="dxa"/>
            <w:gridSpan w:val="2"/>
            <w:tcBorders>
              <w:top w:val="single" w:color="auto" w:sz="12" w:space="0"/>
            </w:tcBorders>
          </w:tcPr>
          <w:p w14:paraId="35DC806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数量及占比</w:t>
            </w:r>
          </w:p>
        </w:tc>
      </w:tr>
      <w:tr w14:paraId="35DC807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continue"/>
            <w:tcBorders>
              <w:bottom w:val="single" w:color="auto" w:sz="4" w:space="0"/>
            </w:tcBorders>
          </w:tcPr>
          <w:p w14:paraId="35DC806F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8070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 xml:space="preserve"> *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 w14:paraId="35DC807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%</w:t>
            </w:r>
          </w:p>
        </w:tc>
      </w:tr>
      <w:tr w14:paraId="35DC807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3668" w:type="dxa"/>
            <w:tcBorders>
              <w:top w:val="single" w:color="auto" w:sz="4" w:space="0"/>
              <w:bottom w:val="nil"/>
            </w:tcBorders>
            <w:vAlign w:val="center"/>
          </w:tcPr>
          <w:p w14:paraId="35DC8073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一致</w:t>
            </w: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74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7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7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single" w:color="auto" w:sz="12" w:space="0"/>
            </w:tcBorders>
            <w:vAlign w:val="center"/>
          </w:tcPr>
          <w:p w14:paraId="35DC80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不一致</w:t>
            </w: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7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7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7B">
      <w:pPr>
        <w:spacing w:line="300" w:lineRule="auto"/>
        <w:ind w:firstLine="360"/>
        <w:rPr>
          <w:rFonts w:ascii="Times New Roman" w:hAnsi="Times New Roman" w:eastAsia="宋体" w:cs="Times New Roman"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*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推论数量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指在重复分析中，对效应做出统计推断的次数。例如，仅进行了一个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t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检验，则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＝1；如果进行了一个2</w:t>
      </w:r>
      <w:r>
        <w:rPr>
          <w:rFonts w:ascii="Times New Roman" w:hAnsi="Times New Roman" w:eastAsia="宋体" w:cs="Times New Roman"/>
          <w:sz w:val="18"/>
          <w:szCs w:val="18"/>
          <w14:ligatures w14:val="none"/>
        </w:rPr>
        <w:t>*2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的方差分析，并进行简单效应分析，则有可能有7个统计推断：两个主效应的推论，一个交互作用的推论，四个可能的简单效应分析的</w:t>
      </w:r>
      <w:r>
        <w:rPr>
          <w:rFonts w:hint="eastAsia" w:ascii="Times New Roman" w:hAnsi="Times New Roman" w:eastAsia="宋体" w:cs="Times New Roman"/>
          <w:iCs/>
          <w:sz w:val="18"/>
          <w:szCs w:val="18"/>
          <w14:ligatures w14:val="none"/>
        </w:rPr>
        <w:t>推论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，因此</w:t>
      </w:r>
      <w:r>
        <w:rPr>
          <w:rFonts w:ascii="Times New Roman" w:hAnsi="Times New Roman" w:eastAsia="宋体" w:cs="Times New Roman"/>
          <w:i/>
          <w:iCs/>
          <w:sz w:val="18"/>
          <w:szCs w:val="18"/>
          <w14:ligatures w14:val="none"/>
        </w:rPr>
        <w:t>N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＝7。如果报告的</w:t>
      </w:r>
      <w:r>
        <w:rPr>
          <w:rFonts w:hint="eastAsia" w:ascii="Times New Roman" w:hAnsi="Times New Roman" w:eastAsia="宋体" w:cs="Times New Roman"/>
          <w:i/>
          <w:iCs/>
          <w:sz w:val="18"/>
          <w:szCs w:val="18"/>
          <w14:ligatures w14:val="none"/>
        </w:rPr>
        <w:t>p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值相对于重复的</w:t>
      </w:r>
      <w:r>
        <w:rPr>
          <w:rFonts w:hint="eastAsia" w:ascii="Times New Roman" w:hAnsi="Times New Roman" w:eastAsia="宋体" w:cs="Times New Roman"/>
          <w:i/>
          <w:iCs/>
          <w:sz w:val="18"/>
          <w:szCs w:val="18"/>
          <w14:ligatures w14:val="none"/>
        </w:rPr>
        <w:t>p</w:t>
      </w:r>
      <w:r>
        <w:rPr>
          <w:rFonts w:hint="eastAsia" w:ascii="Times New Roman" w:hAnsi="Times New Roman" w:eastAsia="宋体" w:cs="Times New Roman"/>
          <w:sz w:val="18"/>
          <w:szCs w:val="18"/>
          <w14:ligatures w14:val="none"/>
        </w:rPr>
        <w:t>值落在显著性水平边界的另一侧，则被归类为推论不一致；反之为推论一致。</w:t>
      </w:r>
    </w:p>
    <w:p w14:paraId="35DC807C">
      <w:pPr>
        <w:spacing w:line="300" w:lineRule="auto"/>
        <w:rPr>
          <w:rFonts w:ascii="Times New Roman" w:hAnsi="Times New Roman" w:eastAsia="宋体" w:cs="Times New Roman"/>
          <w:szCs w:val="24"/>
          <w14:ligatures w14:val="none"/>
        </w:rPr>
      </w:pPr>
    </w:p>
    <w:p w14:paraId="35DC807D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若出现不一致的情况，需要文字总结出现了哪些不一致。</w:t>
      </w:r>
    </w:p>
    <w:p w14:paraId="35DC807E">
      <w:pPr>
        <w:spacing w:line="48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3.3.2 使用与原文献不同方法</w:t>
      </w:r>
    </w:p>
    <w:p w14:paraId="35DC807F">
      <w:pPr>
        <w:spacing w:line="300" w:lineRule="auto"/>
        <w:ind w:firstLine="420" w:firstLineChars="200"/>
        <w:jc w:val="left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报告采用新方法后，推论与原文献推论的一致情况，整理成表格，如下表所示</w:t>
      </w:r>
    </w:p>
    <w:p w14:paraId="35DC8080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表 7</w:t>
      </w:r>
      <w:r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 xml:space="preserve"> 推论的一致性的评估表(创新方法)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1185"/>
        <w:gridCol w:w="1185"/>
      </w:tblGrid>
      <w:tr w14:paraId="35DC80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restart"/>
            <w:tcBorders>
              <w:top w:val="single" w:color="auto" w:sz="12" w:space="0"/>
            </w:tcBorders>
            <w:vAlign w:val="center"/>
          </w:tcPr>
          <w:p w14:paraId="35DC8081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推论的一致性</w:t>
            </w:r>
          </w:p>
        </w:tc>
        <w:tc>
          <w:tcPr>
            <w:tcW w:w="2370" w:type="dxa"/>
            <w:gridSpan w:val="2"/>
            <w:tcBorders>
              <w:top w:val="single" w:color="auto" w:sz="12" w:space="0"/>
            </w:tcBorders>
            <w:vAlign w:val="center"/>
          </w:tcPr>
          <w:p w14:paraId="35DC8082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数量及占比</w:t>
            </w:r>
          </w:p>
        </w:tc>
      </w:tr>
      <w:tr w14:paraId="35DC808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8" w:type="dxa"/>
            <w:vMerge w:val="continue"/>
            <w:tcBorders>
              <w:bottom w:val="single" w:color="auto" w:sz="4" w:space="0"/>
            </w:tcBorders>
          </w:tcPr>
          <w:p w14:paraId="35DC8084">
            <w:pPr>
              <w:spacing w:line="360" w:lineRule="auto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  <w:vAlign w:val="center"/>
          </w:tcPr>
          <w:p w14:paraId="35DC8085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N</w:t>
            </w:r>
            <w:r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 xml:space="preserve"> *</w:t>
            </w:r>
          </w:p>
        </w:tc>
        <w:tc>
          <w:tcPr>
            <w:tcW w:w="1185" w:type="dxa"/>
            <w:tcBorders>
              <w:bottom w:val="single" w:color="auto" w:sz="4" w:space="0"/>
            </w:tcBorders>
            <w:vAlign w:val="center"/>
          </w:tcPr>
          <w:p w14:paraId="35DC8086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18"/>
                <w:szCs w:val="18"/>
                <w14:ligatures w14:val="none"/>
              </w:rPr>
              <w:t>%</w:t>
            </w:r>
          </w:p>
        </w:tc>
      </w:tr>
      <w:tr w14:paraId="35DC80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3668" w:type="dxa"/>
            <w:tcBorders>
              <w:top w:val="single" w:color="auto" w:sz="4" w:space="0"/>
              <w:bottom w:val="nil"/>
            </w:tcBorders>
            <w:vAlign w:val="center"/>
          </w:tcPr>
          <w:p w14:paraId="35DC8088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一致</w:t>
            </w: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89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single" w:color="auto" w:sz="4" w:space="0"/>
              <w:bottom w:val="nil"/>
            </w:tcBorders>
            <w:vAlign w:val="center"/>
          </w:tcPr>
          <w:p w14:paraId="35DC80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  <w:tr w14:paraId="35DC808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68" w:type="dxa"/>
            <w:tcBorders>
              <w:top w:val="nil"/>
              <w:bottom w:val="single" w:color="auto" w:sz="12" w:space="0"/>
            </w:tcBorders>
            <w:vAlign w:val="center"/>
          </w:tcPr>
          <w:p w14:paraId="35DC808C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14:ligatures w14:val="none"/>
              </w:rPr>
              <w:t>不一致</w:t>
            </w: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8D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bottom w:val="single" w:color="auto" w:sz="12" w:space="0"/>
            </w:tcBorders>
            <w:vAlign w:val="center"/>
          </w:tcPr>
          <w:p w14:paraId="35DC808E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  <w14:ligatures w14:val="none"/>
              </w:rPr>
            </w:pPr>
          </w:p>
        </w:tc>
      </w:tr>
    </w:tbl>
    <w:p w14:paraId="35DC8090">
      <w:pPr>
        <w:spacing w:line="300" w:lineRule="auto"/>
        <w:ind w:firstLine="420"/>
        <w:rPr>
          <w:rFonts w:ascii="Times New Roman" w:hAnsi="Times New Roman" w:eastAsia="宋体" w:cs="Times New Roman"/>
          <w:i/>
          <w:iCs/>
          <w:szCs w:val="24"/>
          <w14:ligatures w14:val="none"/>
        </w:rPr>
      </w:pPr>
    </w:p>
    <w:p w14:paraId="35DC8091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若出现不一致的情况，需要文字总结出现了哪些不一致。</w:t>
      </w:r>
    </w:p>
    <w:p w14:paraId="35DC8092">
      <w:pPr>
        <w:spacing w:line="300" w:lineRule="auto"/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14:ligatures w14:val="none"/>
        </w:rPr>
        <w:t xml:space="preserve">4  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14:ligatures w14:val="none"/>
        </w:rPr>
        <w:t>讨论</w:t>
      </w:r>
    </w:p>
    <w:p w14:paraId="35DC8093">
      <w:pPr>
        <w:spacing w:line="300" w:lineRule="auto"/>
        <w:rPr>
          <w:rFonts w:ascii="Times New Roman" w:hAnsi="Times New Roman" w:eastAsia="宋体" w:cs="Times New Roman"/>
          <w:b/>
          <w:bCs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4.1 计算可复现性检验结果分析</w:t>
      </w:r>
    </w:p>
    <w:p w14:paraId="35DC8094">
      <w:pPr>
        <w:spacing w:line="300" w:lineRule="auto"/>
        <w:ind w:firstLine="420" w:firstLineChars="200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结合下表，对原文献进行分析，推测可能导致可复现性检验结果差异的原因。对于重要的原因，逐段进行展开说明。</w:t>
      </w:r>
    </w:p>
    <w:p w14:paraId="35DC8095">
      <w:pPr>
        <w:spacing w:line="300" w:lineRule="auto"/>
        <w:jc w:val="center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黑体" w:cs="Times New Roman"/>
          <w:b/>
          <w:bCs/>
          <w:sz w:val="18"/>
          <w:szCs w:val="18"/>
          <w14:ligatures w14:val="none"/>
        </w:rPr>
        <w:t>表 8 计算上（不）可重复的原因分析表</w:t>
      </w:r>
    </w:p>
    <w:tbl>
      <w:tblPr>
        <w:tblStyle w:val="5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79"/>
        <w:gridCol w:w="3475"/>
        <w:gridCol w:w="912"/>
        <w:gridCol w:w="1009"/>
        <w:gridCol w:w="940"/>
      </w:tblGrid>
      <w:tr w14:paraId="35DC8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6798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5DC8096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可能原因</w:t>
            </w:r>
          </w:p>
        </w:tc>
        <w:tc>
          <w:tcPr>
            <w:tcW w:w="979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5DC8097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研究一</w:t>
            </w:r>
          </w:p>
        </w:tc>
        <w:tc>
          <w:tcPr>
            <w:tcW w:w="10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5DC8098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……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5DC8099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研究n</w:t>
            </w:r>
          </w:p>
        </w:tc>
      </w:tr>
      <w:tr w14:paraId="35DC8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483" w:type="dxa"/>
            <w:vMerge w:val="restart"/>
            <w:tcBorders>
              <w:top w:val="single" w:color="auto" w:sz="4" w:space="0"/>
            </w:tcBorders>
            <w:vAlign w:val="center"/>
          </w:tcPr>
          <w:p w14:paraId="35DC809B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  <w:p w14:paraId="35DC809C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原文献开放性问题</w:t>
            </w:r>
          </w:p>
        </w:tc>
        <w:tc>
          <w:tcPr>
            <w:tcW w:w="1483" w:type="dxa"/>
            <w:vMerge w:val="restart"/>
            <w:tcBorders>
              <w:top w:val="single" w:color="auto" w:sz="4" w:space="0"/>
            </w:tcBorders>
            <w:vAlign w:val="center"/>
          </w:tcPr>
          <w:p w14:paraId="35DC809D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一般性开放获取问题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9E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几个结果的微小差异，可能是由于分析中使用了没有设置固定种子的随机数；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9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A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A1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A3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A4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A5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个别结果的微小差异，可能是由于印刷或复制粘贴错误；</w:t>
            </w:r>
          </w:p>
        </w:tc>
        <w:tc>
          <w:tcPr>
            <w:tcW w:w="979" w:type="dxa"/>
          </w:tcPr>
          <w:p w14:paraId="35DC80A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A7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A8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AA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AB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AC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文章文本中程序报告不明确，包括纳入亚组的标准、缺乏或不正确报告用于回归模型的变量、以及未报告的单侧分析；</w:t>
            </w:r>
          </w:p>
        </w:tc>
        <w:tc>
          <w:tcPr>
            <w:tcW w:w="979" w:type="dxa"/>
          </w:tcPr>
          <w:p w14:paraId="35DC80A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AE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A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B1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B2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0B3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在文章的开放实践声明中对研究的模糊标记。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0B4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0B5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0B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B8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0B9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OSF 开放获取特定问题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BA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OSF 中缺乏对数据和/或代码内容进行说明的文档(readme文档)；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BB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BC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B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0BF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C0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C1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OSF 上的数据与代码文件不一致，如代码中对部分数据进行了操作，但这部分数据在数据文件中无对应；</w:t>
            </w:r>
          </w:p>
        </w:tc>
        <w:tc>
          <w:tcPr>
            <w:tcW w:w="979" w:type="dxa"/>
          </w:tcPr>
          <w:p w14:paraId="35DC80C2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C3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C4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C6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C7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0C8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OSF上的数据存储问题，包括文件损坏或无法下载。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0C9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0CA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0CB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CD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0CE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数据开放获取特定问题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CF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没有提供原始数据；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D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D1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D2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D4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D5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D6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没有提供处理后的数据；</w:t>
            </w:r>
          </w:p>
        </w:tc>
        <w:tc>
          <w:tcPr>
            <w:tcW w:w="979" w:type="dxa"/>
          </w:tcPr>
          <w:p w14:paraId="35DC80D7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D8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D9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DB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DC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0DD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没有提供数据处理过程的描述或代码。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0DE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0D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0E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E2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0E3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代码开放获取特定问题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E4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缺乏共享的分析代码或建模代码；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E5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E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E7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E9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EA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0EB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软件包或软件版本的问题。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0EC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0E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0EE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3" w:type="dxa"/>
            <w:vMerge w:val="restart"/>
            <w:vAlign w:val="center"/>
          </w:tcPr>
          <w:p w14:paraId="35DC80F0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  <w:p w14:paraId="35DC80F1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重复过程的原因</w:t>
            </w:r>
          </w:p>
        </w:tc>
        <w:tc>
          <w:tcPr>
            <w:tcW w:w="1483" w:type="dxa"/>
            <w:vMerge w:val="restart"/>
            <w:vAlign w:val="center"/>
          </w:tcPr>
          <w:p w14:paraId="35DC80F2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重复研究与院研究的区别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0F3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是否使用同样的数据集；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0F4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0F5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0F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F8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0F9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0FA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是否使用同样的数据分析软件及软件包；</w:t>
            </w:r>
          </w:p>
        </w:tc>
        <w:tc>
          <w:tcPr>
            <w:tcW w:w="979" w:type="dxa"/>
          </w:tcPr>
          <w:p w14:paraId="35DC80FB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0FC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0F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483" w:type="dxa"/>
            <w:vMerge w:val="continue"/>
            <w:vAlign w:val="center"/>
          </w:tcPr>
          <w:p w14:paraId="35DC80FF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100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8" w:space="0"/>
            </w:tcBorders>
            <w:vAlign w:val="center"/>
          </w:tcPr>
          <w:p w14:paraId="35DC8101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是否使用同样的数据分析方法。</w:t>
            </w:r>
          </w:p>
        </w:tc>
        <w:tc>
          <w:tcPr>
            <w:tcW w:w="979" w:type="dxa"/>
            <w:tcBorders>
              <w:bottom w:val="single" w:color="auto" w:sz="8" w:space="0"/>
            </w:tcBorders>
          </w:tcPr>
          <w:p w14:paraId="35DC8102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8" w:space="0"/>
            </w:tcBorders>
          </w:tcPr>
          <w:p w14:paraId="35DC8103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8" w:space="0"/>
            </w:tcBorders>
          </w:tcPr>
          <w:p w14:paraId="35DC8104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106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107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重复者相关因素</w:t>
            </w:r>
          </w:p>
        </w:tc>
        <w:tc>
          <w:tcPr>
            <w:tcW w:w="3832" w:type="dxa"/>
            <w:tcBorders>
              <w:top w:val="single" w:color="auto" w:sz="8" w:space="0"/>
            </w:tcBorders>
            <w:vAlign w:val="center"/>
          </w:tcPr>
          <w:p w14:paraId="35DC8108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重复者此前是否有过 R 使用经验；</w:t>
            </w:r>
          </w:p>
        </w:tc>
        <w:tc>
          <w:tcPr>
            <w:tcW w:w="979" w:type="dxa"/>
            <w:tcBorders>
              <w:top w:val="single" w:color="auto" w:sz="8" w:space="0"/>
            </w:tcBorders>
          </w:tcPr>
          <w:p w14:paraId="35DC8109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8" w:space="0"/>
            </w:tcBorders>
          </w:tcPr>
          <w:p w14:paraId="35DC810A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8" w:space="0"/>
            </w:tcBorders>
          </w:tcPr>
          <w:p w14:paraId="35DC810B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10D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vAlign w:val="center"/>
          </w:tcPr>
          <w:p w14:paraId="35DC810E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4" w:space="0"/>
            </w:tcBorders>
            <w:vAlign w:val="center"/>
          </w:tcPr>
          <w:p w14:paraId="35DC810F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重复者对关于 R 的知识或操作上存在漏洞，较难理解原文章中的部分操作(可做简单说明)。</w:t>
            </w:r>
          </w:p>
        </w:tc>
        <w:tc>
          <w:tcPr>
            <w:tcW w:w="979" w:type="dxa"/>
            <w:tcBorders>
              <w:bottom w:val="single" w:color="auto" w:sz="4" w:space="0"/>
            </w:tcBorders>
          </w:tcPr>
          <w:p w14:paraId="35DC811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4" w:space="0"/>
            </w:tcBorders>
          </w:tcPr>
          <w:p w14:paraId="35DC8111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4" w:space="0"/>
            </w:tcBorders>
          </w:tcPr>
          <w:p w14:paraId="35DC8112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restart"/>
            <w:vAlign w:val="center"/>
          </w:tcPr>
          <w:p w14:paraId="35DC8114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  <w:p w14:paraId="35DC8115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其他影响因素</w:t>
            </w:r>
          </w:p>
        </w:tc>
        <w:tc>
          <w:tcPr>
            <w:tcW w:w="1483" w:type="dxa"/>
            <w:vAlign w:val="center"/>
          </w:tcPr>
          <w:p w14:paraId="35DC8116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文献年份</w:t>
            </w:r>
          </w:p>
        </w:tc>
        <w:tc>
          <w:tcPr>
            <w:tcW w:w="3832" w:type="dxa"/>
            <w:tcBorders>
              <w:top w:val="single" w:color="auto" w:sz="4" w:space="0"/>
            </w:tcBorders>
            <w:vAlign w:val="center"/>
          </w:tcPr>
          <w:p w14:paraId="35DC8117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文献发表年份是否较为久远，是否在开放科学运动之前；</w:t>
            </w:r>
          </w:p>
        </w:tc>
        <w:tc>
          <w:tcPr>
            <w:tcW w:w="979" w:type="dxa"/>
            <w:tcBorders>
              <w:top w:val="single" w:color="auto" w:sz="4" w:space="0"/>
            </w:tcBorders>
          </w:tcPr>
          <w:p w14:paraId="35DC8118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top w:val="single" w:color="auto" w:sz="4" w:space="0"/>
            </w:tcBorders>
          </w:tcPr>
          <w:p w14:paraId="35DC8119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top w:val="single" w:color="auto" w:sz="4" w:space="0"/>
            </w:tcBorders>
          </w:tcPr>
          <w:p w14:paraId="35DC811A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vAlign w:val="center"/>
          </w:tcPr>
          <w:p w14:paraId="35DC811C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restart"/>
            <w:vAlign w:val="center"/>
          </w:tcPr>
          <w:p w14:paraId="35DC811D"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4"/>
                <w14:ligatures w14:val="none"/>
              </w:rPr>
              <w:t>文献质量</w:t>
            </w:r>
          </w:p>
        </w:tc>
        <w:tc>
          <w:tcPr>
            <w:tcW w:w="3832" w:type="dxa"/>
            <w:vAlign w:val="center"/>
          </w:tcPr>
          <w:p w14:paraId="35DC811E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文献引用量大小；</w:t>
            </w:r>
          </w:p>
        </w:tc>
        <w:tc>
          <w:tcPr>
            <w:tcW w:w="979" w:type="dxa"/>
          </w:tcPr>
          <w:p w14:paraId="35DC811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120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121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</w:tcPr>
          <w:p w14:paraId="35DC8123">
            <w:pPr>
              <w:spacing w:line="300" w:lineRule="auto"/>
              <w:ind w:firstLine="422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</w:tcPr>
          <w:p w14:paraId="35DC8124">
            <w:pPr>
              <w:spacing w:line="300" w:lineRule="auto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vAlign w:val="center"/>
          </w:tcPr>
          <w:p w14:paraId="35DC8125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是否有其他研究支持本文献结果；</w:t>
            </w:r>
          </w:p>
        </w:tc>
        <w:tc>
          <w:tcPr>
            <w:tcW w:w="979" w:type="dxa"/>
          </w:tcPr>
          <w:p w14:paraId="35DC8126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</w:tcPr>
          <w:p w14:paraId="35DC8127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</w:tcPr>
          <w:p w14:paraId="35DC8128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  <w:tr w14:paraId="35DC81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3" w:type="dxa"/>
            <w:vMerge w:val="continue"/>
            <w:tcBorders>
              <w:bottom w:val="single" w:color="auto" w:sz="12" w:space="0"/>
            </w:tcBorders>
          </w:tcPr>
          <w:p w14:paraId="35DC812A">
            <w:pPr>
              <w:spacing w:line="300" w:lineRule="auto"/>
              <w:ind w:firstLine="422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1483" w:type="dxa"/>
            <w:vMerge w:val="continue"/>
            <w:tcBorders>
              <w:bottom w:val="single" w:color="auto" w:sz="12" w:space="0"/>
            </w:tcBorders>
          </w:tcPr>
          <w:p w14:paraId="35DC812B">
            <w:pPr>
              <w:spacing w:line="300" w:lineRule="auto"/>
              <w:ind w:firstLine="422"/>
              <w:jc w:val="center"/>
              <w:rPr>
                <w:rFonts w:ascii="Times New Roman" w:hAnsi="Times New Roman" w:eastAsia="宋体" w:cs="Times New Roman"/>
                <w:b/>
                <w:bCs/>
                <w:szCs w:val="24"/>
                <w14:ligatures w14:val="none"/>
              </w:rPr>
            </w:pPr>
          </w:p>
        </w:tc>
        <w:tc>
          <w:tcPr>
            <w:tcW w:w="3832" w:type="dxa"/>
            <w:tcBorders>
              <w:bottom w:val="single" w:color="auto" w:sz="12" w:space="0"/>
            </w:tcBorders>
            <w:vAlign w:val="center"/>
          </w:tcPr>
          <w:p w14:paraId="35DC812C">
            <w:pPr>
              <w:spacing w:line="300" w:lineRule="auto"/>
              <w:jc w:val="left"/>
              <w:rPr>
                <w:rFonts w:ascii="Times New Roman" w:hAnsi="Times New Roman" w:eastAsia="宋体" w:cs="Times New Roman"/>
                <w:sz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14:ligatures w14:val="none"/>
              </w:rPr>
              <w:t>是否有其他研究对本文献结果进行了重复，重复结果如何(可做简单说明)。</w:t>
            </w:r>
          </w:p>
        </w:tc>
        <w:tc>
          <w:tcPr>
            <w:tcW w:w="979" w:type="dxa"/>
            <w:tcBorders>
              <w:bottom w:val="single" w:color="auto" w:sz="12" w:space="0"/>
            </w:tcBorders>
          </w:tcPr>
          <w:p w14:paraId="35DC812D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60" w:type="dxa"/>
            <w:tcBorders>
              <w:bottom w:val="single" w:color="auto" w:sz="12" w:space="0"/>
            </w:tcBorders>
          </w:tcPr>
          <w:p w14:paraId="35DC812E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  <w:tc>
          <w:tcPr>
            <w:tcW w:w="1010" w:type="dxa"/>
            <w:tcBorders>
              <w:bottom w:val="single" w:color="auto" w:sz="12" w:space="0"/>
            </w:tcBorders>
          </w:tcPr>
          <w:p w14:paraId="35DC812F">
            <w:pPr>
              <w:spacing w:line="300" w:lineRule="auto"/>
              <w:ind w:firstLine="420"/>
              <w:rPr>
                <w:rFonts w:ascii="Times New Roman" w:hAnsi="Times New Roman" w:eastAsia="宋体" w:cs="Times New Roman"/>
                <w:szCs w:val="24"/>
                <w14:ligatures w14:val="none"/>
              </w:rPr>
            </w:pPr>
          </w:p>
        </w:tc>
      </w:tr>
    </w:tbl>
    <w:p w14:paraId="35DC8131">
      <w:pPr>
        <w:spacing w:line="300" w:lineRule="auto"/>
        <w:jc w:val="left"/>
        <w:rPr>
          <w:rFonts w:ascii="Times New Roman" w:hAnsi="Times New Roman" w:eastAsia="黑体" w:cs="Times New Roman"/>
          <w:b/>
          <w:bCs/>
          <w:sz w:val="18"/>
          <w:szCs w:val="18"/>
          <w14:ligatures w14:val="none"/>
        </w:rPr>
      </w:pPr>
      <w:r>
        <w:rPr>
          <w:rFonts w:hint="eastAsia" w:ascii="Times New Roman" w:hAnsi="Times New Roman" w:eastAsia="宋体" w:cs="Times New Roman"/>
          <w:b/>
          <w:bCs/>
          <w:szCs w:val="24"/>
          <w14:ligatures w14:val="none"/>
        </w:rPr>
        <w:t>4.2 其他思考</w:t>
      </w:r>
    </w:p>
    <w:p w14:paraId="35DC8132">
      <w:pPr>
        <w:spacing w:line="300" w:lineRule="auto"/>
        <w:ind w:firstLine="420" w:firstLineChars="200"/>
        <w:rPr>
          <w:rFonts w:ascii="Times New Roman" w:hAnsi="Times New Roman" w:eastAsia="宋体" w:cs="Times New Roman"/>
          <w:szCs w:val="24"/>
          <w14:ligatures w14:val="none"/>
        </w:rPr>
      </w:pPr>
      <w:r>
        <w:rPr>
          <w:rFonts w:hint="eastAsia" w:ascii="Times New Roman" w:hAnsi="Times New Roman" w:eastAsia="宋体" w:cs="Times New Roman"/>
          <w:szCs w:val="24"/>
          <w14:ligatures w14:val="none"/>
        </w:rPr>
        <w:t>可自由总结数据分析过程中除计算可复现性问题外的其他思考，也可以包括对本课的建议。</w:t>
      </w:r>
    </w:p>
    <w:p w14:paraId="35DC8133">
      <w:pPr>
        <w:spacing w:line="300" w:lineRule="auto"/>
        <w:ind w:firstLine="600"/>
        <w:rPr>
          <w:rFonts w:ascii="Times New Roman" w:hAnsi="Times New Roman" w:eastAsia="宋体" w:cs="Times New Roman"/>
          <w:sz w:val="30"/>
          <w:szCs w:val="30"/>
          <w14:ligatures w14:val="none"/>
        </w:rPr>
      </w:pPr>
    </w:p>
    <w:p w14:paraId="35DC8134">
      <w:pPr>
        <w:spacing w:line="300" w:lineRule="auto"/>
        <w:ind w:firstLine="562" w:firstLineChars="200"/>
        <w:jc w:val="center"/>
        <w:rPr>
          <w:rFonts w:ascii="黑体" w:hAnsi="黑体" w:eastAsia="黑体" w:cs="Times New Roman"/>
          <w:b/>
          <w:bCs/>
          <w:sz w:val="28"/>
          <w:szCs w:val="28"/>
          <w14:ligatures w14:val="none"/>
        </w:rPr>
      </w:pPr>
      <w:r>
        <w:rPr>
          <w:rFonts w:hint="eastAsia" w:ascii="黑体" w:hAnsi="黑体" w:eastAsia="黑体" w:cs="Times New Roman"/>
          <w:b/>
          <w:bCs/>
          <w:sz w:val="28"/>
          <w:szCs w:val="28"/>
          <w14:ligatures w14:val="none"/>
        </w:rPr>
        <w:t>参考文献(APA格式)</w:t>
      </w:r>
    </w:p>
    <w:p w14:paraId="39E4E4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vOTdd63da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7C79"/>
    <w:rsid w:val="0CB036DC"/>
    <w:rsid w:val="11264F6B"/>
    <w:rsid w:val="125C44FC"/>
    <w:rsid w:val="19C61485"/>
    <w:rsid w:val="1FB904F7"/>
    <w:rsid w:val="21633311"/>
    <w:rsid w:val="242900F1"/>
    <w:rsid w:val="307F5330"/>
    <w:rsid w:val="31865E05"/>
    <w:rsid w:val="3AE0515A"/>
    <w:rsid w:val="3C513BF7"/>
    <w:rsid w:val="3D0F41E9"/>
    <w:rsid w:val="40944E6B"/>
    <w:rsid w:val="47CC58C3"/>
    <w:rsid w:val="5540202B"/>
    <w:rsid w:val="55BA4E97"/>
    <w:rsid w:val="69BF5932"/>
    <w:rsid w:val="7FC5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一级标题"/>
    <w:basedOn w:val="2"/>
    <w:next w:val="1"/>
    <w:qFormat/>
    <w:uiPriority w:val="0"/>
    <w:pPr>
      <w:spacing w:before="50" w:beforeLines="50" w:after="50" w:afterLines="50" w:line="400" w:lineRule="atLeast"/>
      <w:ind w:firstLine="420" w:firstLineChars="200"/>
      <w:outlineLvl w:val="1"/>
    </w:pPr>
    <w:rPr>
      <w:rFonts w:hint="eastAsia" w:ascii="黑体" w:hAnsi="黑体" w:eastAsia="黑体" w:cstheme="majorBidi"/>
      <w:b w:val="0"/>
      <w:bCs/>
      <w:sz w:val="28"/>
      <w:szCs w:val="2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2411</Words>
  <Characters>2599</Characters>
  <Lines>0</Lines>
  <Paragraphs>0</Paragraphs>
  <TotalTime>2</TotalTime>
  <ScaleCrop>false</ScaleCrop>
  <LinksUpToDate>false</LinksUpToDate>
  <CharactersWithSpaces>2693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2023-11-22T04:19:00Z</dcterms:created>
  <dc:creator>蔡振辛</dc:creator>
  <cp:lastModifiedBy>蔡振辛</cp:lastModifiedBy>
  <dcterms:modified xsi:type="dcterms:W3CDTF">2025-05-21T12:32:22Z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686FECE26060491A9703798694D13D24_12</vt:lpwstr>
  </property>
  <property fmtid="{D5CDD505-2E9C-101B-9397-08002B2CF9AE}" pid="4" name="KSOTemplateDocerSaveRecord">
    <vt:lpwstr>eyJoZGlkIjoiNmU4ODM1N2NlZDYxNjc5NmRmYjBjNTIzODg0N2Q5ZTQiLCJ1c2VySWQiOiI4NDM1NzAxODEifQ==</vt:lpwstr>
  </property>
</Properties>
</file>