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172.png" ContentType="image/png"/>
  <Override PartName="/word/media/rId176.png" ContentType="image/png"/>
  <Override PartName="/word/media/rId180.png" ContentType="image/png"/>
  <Override PartName="/word/media/rId184.png" ContentType="image/png"/>
  <Override PartName="/word/media/rId188.png" ContentType="image/png"/>
  <Override PartName="/word/media/rId192.png" ContentType="image/png"/>
  <Override PartName="/word/media/rId196.png" ContentType="image/png"/>
  <Override PartName="/word/media/rId200.png" ContentType="image/png"/>
  <Override PartName="/word/media/rId204.png" ContentType="image/png"/>
  <Override PartName="/word/media/rId208.png" ContentType="image/png"/>
  <Override PartName="/word/media/rId212.png" ContentType="image/png"/>
  <Override PartName="/word/media/rId216.png" ContentType="image/png"/>
  <Override PartName="/word/media/rId220.png" ContentType="image/png"/>
  <Override PartName="/word/media/rId224.png" ContentType="image/png"/>
  <Override PartName="/word/media/rId228.png" ContentType="image/png"/>
  <Override PartName="/word/media/rId23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139.png" ContentType="image/png"/>
  <Override PartName="/word/media/rId143.png" ContentType="image/png"/>
  <Override PartName="/word/media/rId147.png" ContentType="image/png"/>
  <Override PartName="/word/media/rId151.png" ContentType="image/png"/>
  <Override PartName="/word/media/rId155.png" ContentType="image/png"/>
  <Override PartName="/word/media/rId159.png" ContentType="image/png"/>
  <Override PartName="/word/media/rId163.png" ContentType="image/png"/>
  <Override PartName="/word/media/rId167.png" ContentType="image/png"/>
  <Override PartName="/word/media/rId2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прохождению внешнего курса</w:t>
      </w:r>
    </w:p>
    <w:p>
      <w:pPr>
        <w:pStyle w:val="Subtitle"/>
      </w:pPr>
      <w:r>
        <w:t xml:space="preserve">Основы информационной безопасности</w:t>
      </w:r>
    </w:p>
    <w:p>
      <w:pPr>
        <w:pStyle w:val="Author"/>
      </w:pPr>
      <w:r>
        <w:t xml:space="preserve">Бережной Иван 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основными понятиями информационной безопасности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Пройти все этапы курса</w:t>
      </w:r>
    </w:p>
    <w:bookmarkEnd w:id="21"/>
    <w:bookmarkStart w:id="242" w:name="выполнение-тестов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тестов</w:t>
      </w:r>
    </w:p>
    <w:p>
      <w:pPr>
        <w:pStyle w:val="FirstParagraph"/>
      </w:pPr>
      <w:r>
        <w:t xml:space="preserve">Поскольку тестов в совокупности не так много, а на отдельных этапах их вообще мало, я решил, что более целессобразно будет сделать один отчёт по прохождению всего курса, нежели делать множество отчётов по каждому этапу.</w:t>
      </w:r>
    </w:p>
    <w:bookmarkStart w:id="110" w:name="прохождение-первого-этап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Прохождение первого этапа</w:t>
      </w:r>
    </w:p>
    <w:p>
      <w:pPr>
        <w:pStyle w:val="FirstParagraph"/>
      </w:pPr>
      <w:r>
        <w:t xml:space="preserve">Протоколом прикладного уровня является HTTPS, поскольку он устанавливает правила общения с внешним ресурсом (рис. 1).</w:t>
      </w:r>
    </w:p>
    <w:bookmarkStart w:id="25" w:name="fig:001"/>
    <w:p>
      <w:pPr>
        <w:pStyle w:val="CaptionedFigure"/>
      </w:pPr>
      <w:r>
        <w:drawing>
          <wp:inline>
            <wp:extent cx="3733800" cy="1573776"/>
            <wp:effectExtent b="0" l="0" r="0" t="0"/>
            <wp:docPr descr="Рис. 1: Протокол прикладного уровня" title="" id="23" name="Picture"/>
            <a:graphic>
              <a:graphicData uri="http://schemas.openxmlformats.org/drawingml/2006/picture">
                <pic:pic>
                  <pic:nvPicPr>
                    <pic:cNvPr descr="image/1.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3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Протокол прикладного уровня</w:t>
      </w:r>
    </w:p>
    <w:bookmarkEnd w:id="25"/>
    <w:p>
      <w:pPr>
        <w:pStyle w:val="BodyText"/>
      </w:pPr>
      <w:r>
        <w:t xml:space="preserve">Протокол TCP работает на транспортном уровне, поскольку определяет правила передачи пакетов (рис. 2).</w:t>
      </w:r>
    </w:p>
    <w:bookmarkStart w:id="29" w:name="fig:002"/>
    <w:p>
      <w:pPr>
        <w:pStyle w:val="CaptionedFigure"/>
      </w:pPr>
      <w:r>
        <w:drawing>
          <wp:inline>
            <wp:extent cx="3733800" cy="1554688"/>
            <wp:effectExtent b="0" l="0" r="0" t="0"/>
            <wp:docPr descr="Рис. 2: Уровень работы протокола TCP" title="" id="27" name="Picture"/>
            <a:graphic>
              <a:graphicData uri="http://schemas.openxmlformats.org/drawingml/2006/picture">
                <pic:pic>
                  <pic:nvPicPr>
                    <pic:cNvPr descr="image/1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4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Уровень работы протокола TCP</w:t>
      </w:r>
    </w:p>
    <w:bookmarkEnd w:id="29"/>
    <w:p>
      <w:pPr>
        <w:pStyle w:val="BodyText"/>
      </w:pPr>
      <w:r>
        <w:t xml:space="preserve">Валидными IP-адресами считаются адреса, содержащие 4 октета, каждый из которых состоит из чисел в диапазоне от 0 до 255 (рис. 3).</w:t>
      </w:r>
    </w:p>
    <w:bookmarkStart w:id="33" w:name="fig:003"/>
    <w:p>
      <w:pPr>
        <w:pStyle w:val="CaptionedFigure"/>
      </w:pPr>
      <w:r>
        <w:drawing>
          <wp:inline>
            <wp:extent cx="3733800" cy="1853935"/>
            <wp:effectExtent b="0" l="0" r="0" t="0"/>
            <wp:docPr descr="Рис. 3: Корректные IP" title="" id="31" name="Picture"/>
            <a:graphic>
              <a:graphicData uri="http://schemas.openxmlformats.org/drawingml/2006/picture">
                <pic:pic>
                  <pic:nvPicPr>
                    <pic:cNvPr descr="image/1.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3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Корректные IP</w:t>
      </w:r>
    </w:p>
    <w:bookmarkEnd w:id="33"/>
    <w:p>
      <w:pPr>
        <w:pStyle w:val="BodyText"/>
      </w:pPr>
      <w:r>
        <w:t xml:space="preserve">DNS - специальные сервера, которые сообщают устройству, какой IP привязан к домену (рис. 4).</w:t>
      </w:r>
    </w:p>
    <w:bookmarkStart w:id="37" w:name="fig:004"/>
    <w:p>
      <w:pPr>
        <w:pStyle w:val="CaptionedFigure"/>
      </w:pPr>
      <w:r>
        <w:drawing>
          <wp:inline>
            <wp:extent cx="3733800" cy="1597433"/>
            <wp:effectExtent b="0" l="0" r="0" t="0"/>
            <wp:docPr descr="Рис. 4: Функция DNS" title="" id="35" name="Picture"/>
            <a:graphic>
              <a:graphicData uri="http://schemas.openxmlformats.org/drawingml/2006/picture">
                <pic:pic>
                  <pic:nvPicPr>
                    <pic:cNvPr descr="image/1.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7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Функция DNS</w:t>
      </w:r>
    </w:p>
    <w:bookmarkEnd w:id="37"/>
    <w:p>
      <w:pPr>
        <w:pStyle w:val="BodyText"/>
      </w:pPr>
      <w:r>
        <w:t xml:space="preserve">Последовательность протоколов определяется абстрактной моделью OSI (рис. 5).</w:t>
      </w:r>
    </w:p>
    <w:bookmarkStart w:id="41" w:name="fig:005"/>
    <w:p>
      <w:pPr>
        <w:pStyle w:val="CaptionedFigure"/>
      </w:pPr>
      <w:r>
        <w:drawing>
          <wp:inline>
            <wp:extent cx="3733800" cy="1592785"/>
            <wp:effectExtent b="0" l="0" r="0" t="0"/>
            <wp:docPr descr="Рис. 5: Последовательность уровней TCP/IP" title="" id="39" name="Picture"/>
            <a:graphic>
              <a:graphicData uri="http://schemas.openxmlformats.org/drawingml/2006/picture">
                <pic:pic>
                  <pic:nvPicPr>
                    <pic:cNvPr descr="image/1.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2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Последовательность уровней TCP/IP</w:t>
      </w:r>
    </w:p>
    <w:bookmarkEnd w:id="41"/>
    <w:p>
      <w:pPr>
        <w:pStyle w:val="BodyText"/>
      </w:pPr>
      <w:r>
        <w:t xml:space="preserve">HTTP не шифрует данные (рис. 6).</w:t>
      </w:r>
    </w:p>
    <w:bookmarkStart w:id="45" w:name="fig:006"/>
    <w:p>
      <w:pPr>
        <w:pStyle w:val="CaptionedFigure"/>
      </w:pPr>
      <w:r>
        <w:drawing>
          <wp:inline>
            <wp:extent cx="3733800" cy="1398960"/>
            <wp:effectExtent b="0" l="0" r="0" t="0"/>
            <wp:docPr descr="Рис. 6: HTTP" title="" id="43" name="Picture"/>
            <a:graphic>
              <a:graphicData uri="http://schemas.openxmlformats.org/drawingml/2006/picture">
                <pic:pic>
                  <pic:nvPicPr>
                    <pic:cNvPr descr="image/1.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8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HTTP</w:t>
      </w:r>
    </w:p>
    <w:bookmarkEnd w:id="45"/>
    <w:p>
      <w:pPr>
        <w:pStyle w:val="BodyText"/>
      </w:pPr>
      <w:r>
        <w:t xml:space="preserve">Для успешной передачи данных в протоколе HTTPS была реализована двухфазная передача, состоящая из рукопожатия и непосредственно передачи (рис. 7).</w:t>
      </w:r>
    </w:p>
    <w:bookmarkStart w:id="49" w:name="fig:007"/>
    <w:p>
      <w:pPr>
        <w:pStyle w:val="CaptionedFigure"/>
      </w:pPr>
      <w:r>
        <w:drawing>
          <wp:inline>
            <wp:extent cx="3733800" cy="1584036"/>
            <wp:effectExtent b="0" l="0" r="0" t="0"/>
            <wp:docPr descr="Рис. 7: HTTPS" title="" id="47" name="Picture"/>
            <a:graphic>
              <a:graphicData uri="http://schemas.openxmlformats.org/drawingml/2006/picture">
                <pic:pic>
                  <pic:nvPicPr>
                    <pic:cNvPr descr="image/1.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4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HTTPS</w:t>
      </w:r>
    </w:p>
    <w:bookmarkEnd w:id="49"/>
    <w:p>
      <w:pPr>
        <w:pStyle w:val="BodyText"/>
      </w:pPr>
      <w:r>
        <w:t xml:space="preserve">В каждом устройстве определена своя версия протокола TLS. При общении выбирается наименьшая, поскольку присутствует поддержка обратной совместимости (рис. 8).</w:t>
      </w:r>
    </w:p>
    <w:bookmarkStart w:id="53" w:name="fig:008"/>
    <w:p>
      <w:pPr>
        <w:pStyle w:val="CaptionedFigure"/>
      </w:pPr>
      <w:r>
        <w:drawing>
          <wp:inline>
            <wp:extent cx="3733800" cy="1605275"/>
            <wp:effectExtent b="0" l="0" r="0" t="0"/>
            <wp:docPr descr="Рис. 8: TLS определяется всеми" title="" id="51" name="Picture"/>
            <a:graphic>
              <a:graphicData uri="http://schemas.openxmlformats.org/drawingml/2006/picture">
                <pic:pic>
                  <pic:nvPicPr>
                    <pic:cNvPr descr="image/1.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5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TLS определяется всеми</w:t>
      </w:r>
    </w:p>
    <w:bookmarkEnd w:id="53"/>
    <w:p>
      <w:pPr>
        <w:pStyle w:val="BodyText"/>
      </w:pPr>
      <w:r>
        <w:t xml:space="preserve">Шифрование данных происходит после рукопожатия (рис. 9).</w:t>
      </w:r>
    </w:p>
    <w:bookmarkStart w:id="57" w:name="fig:009"/>
    <w:p>
      <w:pPr>
        <w:pStyle w:val="CaptionedFigure"/>
      </w:pPr>
      <w:r>
        <w:drawing>
          <wp:inline>
            <wp:extent cx="3733800" cy="1608057"/>
            <wp:effectExtent b="0" l="0" r="0" t="0"/>
            <wp:docPr descr="Рис. 9: TLS" title="" id="55" name="Picture"/>
            <a:graphic>
              <a:graphicData uri="http://schemas.openxmlformats.org/drawingml/2006/picture">
                <pic:pic>
                  <pic:nvPicPr>
                    <pic:cNvPr descr="image/1.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8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TLS</w:t>
      </w:r>
    </w:p>
    <w:bookmarkEnd w:id="57"/>
    <w:p>
      <w:pPr>
        <w:pStyle w:val="BodyText"/>
      </w:pPr>
      <w:r>
        <w:t xml:space="preserve">Куки не хранят чувствительные данные, поскольку их не составляет труда перехватить (рис. 10).</w:t>
      </w:r>
    </w:p>
    <w:bookmarkStart w:id="61" w:name="fig:010"/>
    <w:p>
      <w:pPr>
        <w:pStyle w:val="CaptionedFigure"/>
      </w:pPr>
      <w:r>
        <w:drawing>
          <wp:inline>
            <wp:extent cx="3733800" cy="1817307"/>
            <wp:effectExtent b="0" l="0" r="0" t="0"/>
            <wp:docPr descr="Рис. 10: Содержимое куки" title="" id="59" name="Picture"/>
            <a:graphic>
              <a:graphicData uri="http://schemas.openxmlformats.org/drawingml/2006/picture">
                <pic:pic>
                  <pic:nvPicPr>
                    <pic:cNvPr descr="image/2.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7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Содержимое куки</w:t>
      </w:r>
    </w:p>
    <w:bookmarkEnd w:id="61"/>
    <w:p>
      <w:pPr>
        <w:pStyle w:val="BodyText"/>
      </w:pPr>
      <w:r>
        <w:t xml:space="preserve">Куки не используются для улучшения надёжности соединения, поскольку создавались с другой целью (рис. 11).</w:t>
      </w:r>
    </w:p>
    <w:bookmarkStart w:id="65" w:name="fig:011"/>
    <w:p>
      <w:pPr>
        <w:pStyle w:val="CaptionedFigure"/>
      </w:pPr>
      <w:r>
        <w:drawing>
          <wp:inline>
            <wp:extent cx="3733800" cy="1709179"/>
            <wp:effectExtent b="0" l="0" r="0" t="0"/>
            <wp:docPr descr="Рис. 11: Куки не используется для" title="" id="63" name="Picture"/>
            <a:graphic>
              <a:graphicData uri="http://schemas.openxmlformats.org/drawingml/2006/picture">
                <pic:pic>
                  <pic:nvPicPr>
                    <pic:cNvPr descr="image/2.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9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Куки не используется для</w:t>
      </w:r>
    </w:p>
    <w:bookmarkEnd w:id="65"/>
    <w:p>
      <w:pPr>
        <w:pStyle w:val="BodyText"/>
      </w:pPr>
      <w:r>
        <w:t xml:space="preserve">Куки генерируются сервером в ходе общения с пользователем, затем отправляются этому пользователю и хранятся на его хосте (рис. 12).</w:t>
      </w:r>
    </w:p>
    <w:bookmarkStart w:id="69" w:name="fig:012"/>
    <w:p>
      <w:pPr>
        <w:pStyle w:val="CaptionedFigure"/>
      </w:pPr>
      <w:r>
        <w:drawing>
          <wp:inline>
            <wp:extent cx="3733800" cy="1425810"/>
            <wp:effectExtent b="0" l="0" r="0" t="0"/>
            <wp:docPr descr="Рис. 12: Где генерируются куки" title="" id="67" name="Picture"/>
            <a:graphic>
              <a:graphicData uri="http://schemas.openxmlformats.org/drawingml/2006/picture">
                <pic:pic>
                  <pic:nvPicPr>
                    <pic:cNvPr descr="image/2.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5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Где генерируются куки</w:t>
      </w:r>
    </w:p>
    <w:bookmarkEnd w:id="69"/>
    <w:p>
      <w:pPr>
        <w:pStyle w:val="BodyText"/>
      </w:pPr>
      <w:r>
        <w:t xml:space="preserve">Сессионные куки хранятся до тех пор, пока эта сессия не завершится. Отсюда и название (рис. 13).</w:t>
      </w:r>
    </w:p>
    <w:bookmarkStart w:id="73" w:name="fig:013"/>
    <w:p>
      <w:pPr>
        <w:pStyle w:val="CaptionedFigure"/>
      </w:pPr>
      <w:r>
        <w:drawing>
          <wp:inline>
            <wp:extent cx="3733800" cy="1474614"/>
            <wp:effectExtent b="0" l="0" r="0" t="0"/>
            <wp:docPr descr="Рис. 13: Сессионные куки" title="" id="71" name="Picture"/>
            <a:graphic>
              <a:graphicData uri="http://schemas.openxmlformats.org/drawingml/2006/picture">
                <pic:pic>
                  <pic:nvPicPr>
                    <pic:cNvPr descr="image/2.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4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Сессионные куки</w:t>
      </w:r>
    </w:p>
    <w:bookmarkEnd w:id="73"/>
    <w:p>
      <w:pPr>
        <w:pStyle w:val="BodyText"/>
      </w:pPr>
      <w:r>
        <w:t xml:space="preserve">В луковой маршрутизации используется 3 ноды (рис. 14).</w:t>
      </w:r>
    </w:p>
    <w:bookmarkStart w:id="77" w:name="fig:014"/>
    <w:p>
      <w:pPr>
        <w:pStyle w:val="CaptionedFigure"/>
      </w:pPr>
      <w:r>
        <w:drawing>
          <wp:inline>
            <wp:extent cx="3733800" cy="1480644"/>
            <wp:effectExtent b="0" l="0" r="0" t="0"/>
            <wp:docPr descr="Рис. 14: Количество узлов TOR" title="" id="75" name="Picture"/>
            <a:graphic>
              <a:graphicData uri="http://schemas.openxmlformats.org/drawingml/2006/picture">
                <pic:pic>
                  <pic:nvPicPr>
                    <pic:cNvPr descr="image/3.1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0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Количество узлов TOR</w:t>
      </w:r>
    </w:p>
    <w:bookmarkEnd w:id="77"/>
    <w:p>
      <w:pPr>
        <w:pStyle w:val="BodyText"/>
      </w:pPr>
      <w:r>
        <w:t xml:space="preserve">Благодря тройному шифрованию адрес получателя известен только отправителю и выходной ноде. Таким образом ни одна нода не обладает полной информацией о всех участниках</w:t>
      </w:r>
      <w:r>
        <w:t xml:space="preserve"> </w:t>
      </w:r>
      <w:r>
        <w:t xml:space="preserve">“общения”</w:t>
      </w:r>
      <w:r>
        <w:t xml:space="preserve"> </w:t>
      </w:r>
      <w:r>
        <w:t xml:space="preserve">(рис. 15 и рис. 16).</w:t>
      </w:r>
    </w:p>
    <w:bookmarkStart w:id="81" w:name="fig:015"/>
    <w:p>
      <w:pPr>
        <w:pStyle w:val="CaptionedFigure"/>
      </w:pPr>
      <w:r>
        <w:drawing>
          <wp:inline>
            <wp:extent cx="3733800" cy="1858790"/>
            <wp:effectExtent b="0" l="0" r="0" t="0"/>
            <wp:docPr descr="Рис. 15: Скрытие IP" title="" id="79" name="Picture"/>
            <a:graphic>
              <a:graphicData uri="http://schemas.openxmlformats.org/drawingml/2006/picture">
                <pic:pic>
                  <pic:nvPicPr>
                    <pic:cNvPr descr="image/3.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8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Скрытие IP</w:t>
      </w:r>
    </w:p>
    <w:bookmarkEnd w:id="81"/>
    <w:bookmarkStart w:id="85" w:name="fig:016"/>
    <w:p>
      <w:pPr>
        <w:pStyle w:val="CaptionedFigure"/>
      </w:pPr>
      <w:r>
        <w:drawing>
          <wp:inline>
            <wp:extent cx="3733800" cy="1611805"/>
            <wp:effectExtent b="0" l="0" r="0" t="0"/>
            <wp:docPr descr="Рис. 16: Множественные ключи" title="" id="83" name="Picture"/>
            <a:graphic>
              <a:graphicData uri="http://schemas.openxmlformats.org/drawingml/2006/picture">
                <pic:pic>
                  <pic:nvPicPr>
                    <pic:cNvPr descr="image/3.3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1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Множественные ключи</w:t>
      </w:r>
    </w:p>
    <w:bookmarkEnd w:id="85"/>
    <w:p>
      <w:pPr>
        <w:pStyle w:val="BodyText"/>
      </w:pPr>
      <w:r>
        <w:t xml:space="preserve">Получателю необязательно использовать Tor при общении, поскольку всю дешифровку осуществляют ноды (рис. 17).</w:t>
      </w:r>
    </w:p>
    <w:bookmarkStart w:id="89" w:name="fig:017"/>
    <w:p>
      <w:pPr>
        <w:pStyle w:val="CaptionedFigure"/>
      </w:pPr>
      <w:r>
        <w:drawing>
          <wp:inline>
            <wp:extent cx="3733800" cy="1500013"/>
            <wp:effectExtent b="0" l="0" r="0" t="0"/>
            <wp:docPr descr="Рис. 17: Одностороннее использование TOR" title="" id="87" name="Picture"/>
            <a:graphic>
              <a:graphicData uri="http://schemas.openxmlformats.org/drawingml/2006/picture">
                <pic:pic>
                  <pic:nvPicPr>
                    <pic:cNvPr descr="image/3.4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0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Одностороннее использование TOR</w:t>
      </w:r>
    </w:p>
    <w:bookmarkEnd w:id="89"/>
    <w:p>
      <w:pPr>
        <w:pStyle w:val="BodyText"/>
      </w:pPr>
      <w:r>
        <w:t xml:space="preserve">Определение Wi-Fi (рис. 18).</w:t>
      </w:r>
    </w:p>
    <w:bookmarkStart w:id="93" w:name="fig:018"/>
    <w:p>
      <w:pPr>
        <w:pStyle w:val="CaptionedFigure"/>
      </w:pPr>
      <w:r>
        <w:drawing>
          <wp:inline>
            <wp:extent cx="3733800" cy="1584619"/>
            <wp:effectExtent b="0" l="0" r="0" t="0"/>
            <wp:docPr descr="Рис. 18: Определение Wi-Fi" title="" id="91" name="Picture"/>
            <a:graphic>
              <a:graphicData uri="http://schemas.openxmlformats.org/drawingml/2006/picture">
                <pic:pic>
                  <pic:nvPicPr>
                    <pic:cNvPr descr="image/4.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4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Определение Wi-Fi</w:t>
      </w:r>
    </w:p>
    <w:bookmarkEnd w:id="93"/>
    <w:p>
      <w:pPr>
        <w:pStyle w:val="BodyText"/>
      </w:pPr>
      <w:r>
        <w:t xml:space="preserve">Wi-Fi работает на канальном уровне, поскольку связывает локальные устройства с интернетом (рис. 19).</w:t>
      </w:r>
    </w:p>
    <w:bookmarkStart w:id="97" w:name="fig:019"/>
    <w:p>
      <w:pPr>
        <w:pStyle w:val="CaptionedFigure"/>
      </w:pPr>
      <w:r>
        <w:drawing>
          <wp:inline>
            <wp:extent cx="3733800" cy="1592785"/>
            <wp:effectExtent b="0" l="0" r="0" t="0"/>
            <wp:docPr descr="Рис. 19: Уровень работы Wi-Fi" title="" id="95" name="Picture"/>
            <a:graphic>
              <a:graphicData uri="http://schemas.openxmlformats.org/drawingml/2006/picture">
                <pic:pic>
                  <pic:nvPicPr>
                    <pic:cNvPr descr="image/4.2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2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Уровень работы Wi-Fi</w:t>
      </w:r>
    </w:p>
    <w:bookmarkEnd w:id="97"/>
    <w:p>
      <w:pPr>
        <w:pStyle w:val="BodyText"/>
      </w:pPr>
      <w:r>
        <w:t xml:space="preserve">WEP считается устаревшим и небезопасным, потому что его ключ шифрования ограничен 40 битами (рис. 20).</w:t>
      </w:r>
    </w:p>
    <w:bookmarkStart w:id="101" w:name="fig:020"/>
    <w:p>
      <w:pPr>
        <w:pStyle w:val="CaptionedFigure"/>
      </w:pPr>
      <w:r>
        <w:drawing>
          <wp:inline>
            <wp:extent cx="3733800" cy="1619283"/>
            <wp:effectExtent b="0" l="0" r="0" t="0"/>
            <wp:docPr descr="Рис. 20: Небезопасный метод шифрования" title="" id="99" name="Picture"/>
            <a:graphic>
              <a:graphicData uri="http://schemas.openxmlformats.org/drawingml/2006/picture">
                <pic:pic>
                  <pic:nvPicPr>
                    <pic:cNvPr descr="image/4.3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9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Небезопасный метод шифрования</w:t>
      </w:r>
    </w:p>
    <w:bookmarkEnd w:id="101"/>
    <w:p>
      <w:pPr>
        <w:pStyle w:val="BodyText"/>
      </w:pPr>
      <w:r>
        <w:t xml:space="preserve">Данные между хостом и роутером передаются в зашифрованном виде, дабы исклюлчить использование данных при перехвате (рис. 21).</w:t>
      </w:r>
    </w:p>
    <w:bookmarkStart w:id="105" w:name="fig:021"/>
    <w:p>
      <w:pPr>
        <w:pStyle w:val="CaptionedFigure"/>
      </w:pPr>
      <w:r>
        <w:drawing>
          <wp:inline>
            <wp:extent cx="3733800" cy="1605727"/>
            <wp:effectExtent b="0" l="0" r="0" t="0"/>
            <wp:docPr descr="Рис. 21: Передача данных Wi-Fi" title="" id="103" name="Picture"/>
            <a:graphic>
              <a:graphicData uri="http://schemas.openxmlformats.org/drawingml/2006/picture">
                <pic:pic>
                  <pic:nvPicPr>
                    <pic:cNvPr descr="image/4.4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5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Передача данных Wi-Fi</w:t>
      </w:r>
    </w:p>
    <w:bookmarkEnd w:id="105"/>
    <w:p>
      <w:pPr>
        <w:pStyle w:val="BodyText"/>
      </w:pPr>
      <w:r>
        <w:t xml:space="preserve">Для домашней сети используется WPA2 Personal, поскольку это удобнее для пользователей, ведь Enterprise использует динамические ключи (рис. 22).</w:t>
      </w:r>
    </w:p>
    <w:bookmarkStart w:id="109" w:name="fig:022"/>
    <w:p>
      <w:pPr>
        <w:pStyle w:val="CaptionedFigure"/>
      </w:pPr>
      <w:r>
        <w:drawing>
          <wp:inline>
            <wp:extent cx="3733800" cy="1417161"/>
            <wp:effectExtent b="0" l="0" r="0" t="0"/>
            <wp:docPr descr="Рис. 22: Метод аутентификации в домашней сети" title="" id="107" name="Picture"/>
            <a:graphic>
              <a:graphicData uri="http://schemas.openxmlformats.org/drawingml/2006/picture">
                <pic:pic>
                  <pic:nvPicPr>
                    <pic:cNvPr descr="image/4.5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7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Метод аутентификации в домашней сети</w:t>
      </w:r>
    </w:p>
    <w:bookmarkEnd w:id="109"/>
    <w:bookmarkEnd w:id="110"/>
    <w:bookmarkStart w:id="171" w:name="прохождение-второго-этап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Прохождение второго этапа</w:t>
      </w:r>
    </w:p>
    <w:p>
      <w:pPr>
        <w:pStyle w:val="FirstParagraph"/>
      </w:pPr>
      <w:r>
        <w:t xml:space="preserve">Загрузочный сектор диска можно и рекомендуется шифровать (рис. 23).</w:t>
      </w:r>
    </w:p>
    <w:bookmarkStart w:id="114" w:name="fig:023"/>
    <w:p>
      <w:pPr>
        <w:pStyle w:val="CaptionedFigure"/>
      </w:pPr>
      <w:r>
        <w:drawing>
          <wp:inline>
            <wp:extent cx="3733800" cy="1376292"/>
            <wp:effectExtent b="0" l="0" r="0" t="0"/>
            <wp:docPr descr="Рис. 23: Возможность шифровки загрузочного сектора диска" title="" id="112" name="Picture"/>
            <a:graphic>
              <a:graphicData uri="http://schemas.openxmlformats.org/drawingml/2006/picture">
                <pic:pic>
                  <pic:nvPicPr>
                    <pic:cNvPr descr="image/5.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6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Возможность шифровки загрузочного сектора диска</w:t>
      </w:r>
    </w:p>
    <w:bookmarkEnd w:id="114"/>
    <w:p>
      <w:pPr>
        <w:pStyle w:val="BodyText"/>
      </w:pPr>
      <w:r>
        <w:t xml:space="preserve">Шифрование дисков симметричное, поскольку оно гораздо быстрее асимметричного, что идёт в плюс пользователям (рис. 24).</w:t>
      </w:r>
    </w:p>
    <w:bookmarkStart w:id="118" w:name="fig:024"/>
    <w:p>
      <w:pPr>
        <w:pStyle w:val="CaptionedFigure"/>
      </w:pPr>
      <w:r>
        <w:drawing>
          <wp:inline>
            <wp:extent cx="3733800" cy="1502626"/>
            <wp:effectExtent b="0" l="0" r="0" t="0"/>
            <wp:docPr descr="Рис. 24: Симметричное шифрование диска" title="" id="116" name="Picture"/>
            <a:graphic>
              <a:graphicData uri="http://schemas.openxmlformats.org/drawingml/2006/picture">
                <pic:pic>
                  <pic:nvPicPr>
                    <pic:cNvPr descr="image/5.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2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Симметричное шифрование диска</w:t>
      </w:r>
    </w:p>
    <w:bookmarkEnd w:id="118"/>
    <w:p>
      <w:pPr>
        <w:pStyle w:val="BodyText"/>
      </w:pPr>
      <w:r>
        <w:t xml:space="preserve">BitLocker установлен в Windows по умолчанию, а VeraCrypt является наиболее популярной сторонней программой для шифрования дисков (рис. 25).</w:t>
      </w:r>
    </w:p>
    <w:bookmarkStart w:id="122" w:name="fig:025"/>
    <w:p>
      <w:pPr>
        <w:pStyle w:val="CaptionedFigure"/>
      </w:pPr>
      <w:r>
        <w:drawing>
          <wp:inline>
            <wp:extent cx="3733800" cy="1833073"/>
            <wp:effectExtent b="0" l="0" r="0" t="0"/>
            <wp:docPr descr="Рис. 25: Программы для шифрования диска" title="" id="120" name="Picture"/>
            <a:graphic>
              <a:graphicData uri="http://schemas.openxmlformats.org/drawingml/2006/picture">
                <pic:pic>
                  <pic:nvPicPr>
                    <pic:cNvPr descr="image/5.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3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Программы для шифрования диска</w:t>
      </w:r>
    </w:p>
    <w:bookmarkEnd w:id="122"/>
    <w:p>
      <w:pPr>
        <w:pStyle w:val="BodyText"/>
      </w:pPr>
      <w:r>
        <w:t xml:space="preserve">Пароли должны состоять из цифр, символов и спец. символов, чтобы подобрать было труднее (рис. 26).</w:t>
      </w:r>
    </w:p>
    <w:bookmarkStart w:id="126" w:name="fig:026"/>
    <w:p>
      <w:pPr>
        <w:pStyle w:val="CaptionedFigure"/>
      </w:pPr>
      <w:r>
        <w:drawing>
          <wp:inline>
            <wp:extent cx="3733800" cy="1610466"/>
            <wp:effectExtent b="0" l="0" r="0" t="0"/>
            <wp:docPr descr="Рис. 26: Устойчивые к брутфорсу пароли" title="" id="124" name="Picture"/>
            <a:graphic>
              <a:graphicData uri="http://schemas.openxmlformats.org/drawingml/2006/picture">
                <pic:pic>
                  <pic:nvPicPr>
                    <pic:cNvPr descr="image/6.1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0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Устойчивые к брутфорсу пароли</w:t>
      </w:r>
    </w:p>
    <w:bookmarkEnd w:id="126"/>
    <w:p>
      <w:pPr>
        <w:pStyle w:val="BodyText"/>
      </w:pPr>
      <w:r>
        <w:t xml:space="preserve">Пароли безопасно хранить в менеджере паролей, а пароль от него самого нужно хранить на нецифровом носителе или в голове (рис. 27).</w:t>
      </w:r>
    </w:p>
    <w:bookmarkStart w:id="130" w:name="fig:027"/>
    <w:p>
      <w:pPr>
        <w:pStyle w:val="CaptionedFigure"/>
      </w:pPr>
      <w:r>
        <w:drawing>
          <wp:inline>
            <wp:extent cx="3733800" cy="1707807"/>
            <wp:effectExtent b="0" l="0" r="0" t="0"/>
            <wp:docPr descr="Рис. 27: Безопасное место для хранения паролей" title="" id="128" name="Picture"/>
            <a:graphic>
              <a:graphicData uri="http://schemas.openxmlformats.org/drawingml/2006/picture">
                <pic:pic>
                  <pic:nvPicPr>
                    <pic:cNvPr descr="image/6.2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7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Безопасное место для хранения паролей</w:t>
      </w:r>
    </w:p>
    <w:bookmarkEnd w:id="130"/>
    <w:p>
      <w:pPr>
        <w:pStyle w:val="BodyText"/>
      </w:pPr>
      <w:r>
        <w:t xml:space="preserve">Капча используется для защиты от брутфорса ботами (рис. 28).</w:t>
      </w:r>
    </w:p>
    <w:bookmarkStart w:id="134" w:name="fig:028"/>
    <w:p>
      <w:pPr>
        <w:pStyle w:val="CaptionedFigure"/>
      </w:pPr>
      <w:r>
        <w:drawing>
          <wp:inline>
            <wp:extent cx="3733800" cy="1620999"/>
            <wp:effectExtent b="0" l="0" r="0" t="0"/>
            <wp:docPr descr="Рис. 28: Капча" title="" id="132" name="Picture"/>
            <a:graphic>
              <a:graphicData uri="http://schemas.openxmlformats.org/drawingml/2006/picture">
                <pic:pic>
                  <pic:nvPicPr>
                    <pic:cNvPr descr="image/6.3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0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Капча</w:t>
      </w:r>
    </w:p>
    <w:bookmarkEnd w:id="134"/>
    <w:p>
      <w:pPr>
        <w:pStyle w:val="BodyText"/>
      </w:pPr>
      <w:r>
        <w:t xml:space="preserve">Хэширование паролей нужно, чтобы сделать потенциальные утечки баз данных менее опасными (рис. 29).</w:t>
      </w:r>
    </w:p>
    <w:bookmarkStart w:id="138" w:name="fig:029"/>
    <w:p>
      <w:pPr>
        <w:pStyle w:val="CaptionedFigure"/>
      </w:pPr>
      <w:r>
        <w:drawing>
          <wp:inline>
            <wp:extent cx="3733800" cy="1604392"/>
            <wp:effectExtent b="0" l="0" r="0" t="0"/>
            <wp:docPr descr="Рис. 29: Хэширование паролей" title="" id="136" name="Picture"/>
            <a:graphic>
              <a:graphicData uri="http://schemas.openxmlformats.org/drawingml/2006/picture">
                <pic:pic>
                  <pic:nvPicPr>
                    <pic:cNvPr descr="image/6.4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Хэширование паролей</w:t>
      </w:r>
    </w:p>
    <w:bookmarkEnd w:id="138"/>
    <w:p>
      <w:pPr>
        <w:pStyle w:val="BodyText"/>
      </w:pPr>
      <w:r>
        <w:t xml:space="preserve">Соль помогает изменить хэш слабого пароля, но это не защищает от перебора (рис. 30).</w:t>
      </w:r>
    </w:p>
    <w:bookmarkStart w:id="142" w:name="fig:030"/>
    <w:p>
      <w:pPr>
        <w:pStyle w:val="CaptionedFigure"/>
      </w:pPr>
      <w:r>
        <w:drawing>
          <wp:inline>
            <wp:extent cx="3733800" cy="1397331"/>
            <wp:effectExtent b="0" l="0" r="0" t="0"/>
            <wp:docPr descr="Рис. 30: Соль" title="" id="140" name="Picture"/>
            <a:graphic>
              <a:graphicData uri="http://schemas.openxmlformats.org/drawingml/2006/picture">
                <pic:pic>
                  <pic:nvPicPr>
                    <pic:cNvPr descr="image/6.5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7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Соль</w:t>
      </w:r>
    </w:p>
    <w:bookmarkEnd w:id="142"/>
    <w:p>
      <w:pPr>
        <w:pStyle w:val="BodyText"/>
      </w:pPr>
      <w:r>
        <w:t xml:space="preserve">Все методы, которые усложняют пароль или замедляют возможность перебора, помогут защитить от брутфорса (рис. 31).</w:t>
      </w:r>
    </w:p>
    <w:bookmarkStart w:id="146" w:name="fig:031"/>
    <w:p>
      <w:pPr>
        <w:pStyle w:val="CaptionedFigure"/>
      </w:pPr>
      <w:r>
        <w:drawing>
          <wp:inline>
            <wp:extent cx="3733800" cy="1866900"/>
            <wp:effectExtent b="0" l="0" r="0" t="0"/>
            <wp:docPr descr="Рис. 31: Методы защиты данных от утечек" title="" id="144" name="Picture"/>
            <a:graphic>
              <a:graphicData uri="http://schemas.openxmlformats.org/drawingml/2006/picture">
                <pic:pic>
                  <pic:nvPicPr>
                    <pic:cNvPr descr="image/6.6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Методы защиты данных от утечек</w:t>
      </w:r>
    </w:p>
    <w:bookmarkEnd w:id="146"/>
    <w:p>
      <w:pPr>
        <w:pStyle w:val="BodyText"/>
      </w:pPr>
      <w:r>
        <w:t xml:space="preserve">Фишинговые ссылки похожи на настоящие, но имеют в пути другие доменные зоны или как-то видоизменяют сам путь (рис. 32).</w:t>
      </w:r>
    </w:p>
    <w:bookmarkStart w:id="150" w:name="fig:032"/>
    <w:p>
      <w:pPr>
        <w:pStyle w:val="CaptionedFigure"/>
      </w:pPr>
      <w:r>
        <w:drawing>
          <wp:inline>
            <wp:extent cx="3733800" cy="1871749"/>
            <wp:effectExtent b="0" l="0" r="0" t="0"/>
            <wp:docPr descr="Рис. 32: Фишинговые ссылки" title="" id="148" name="Picture"/>
            <a:graphic>
              <a:graphicData uri="http://schemas.openxmlformats.org/drawingml/2006/picture">
                <pic:pic>
                  <pic:nvPicPr>
                    <pic:cNvPr descr="image/7.1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1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Фишинговые ссылки</w:t>
      </w:r>
    </w:p>
    <w:bookmarkEnd w:id="150"/>
    <w:p>
      <w:pPr>
        <w:pStyle w:val="BodyText"/>
      </w:pPr>
      <w:r>
        <w:t xml:space="preserve">Фишинговый имейл может прийти от знакомого адреса, если используется слабый протокол почтового сервиса (рис. 33).</w:t>
      </w:r>
    </w:p>
    <w:bookmarkStart w:id="154" w:name="fig:033"/>
    <w:p>
      <w:pPr>
        <w:pStyle w:val="CaptionedFigure"/>
      </w:pPr>
      <w:r>
        <w:drawing>
          <wp:inline>
            <wp:extent cx="3733800" cy="1394512"/>
            <wp:effectExtent b="0" l="0" r="0" t="0"/>
            <wp:docPr descr="Рис. 33: Фишинговый имейл" title="" id="152" name="Picture"/>
            <a:graphic>
              <a:graphicData uri="http://schemas.openxmlformats.org/drawingml/2006/picture">
                <pic:pic>
                  <pic:nvPicPr>
                    <pic:cNvPr descr="image/7.2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4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Фишинговый имейл</w:t>
      </w:r>
    </w:p>
    <w:bookmarkEnd w:id="154"/>
    <w:p>
      <w:pPr>
        <w:pStyle w:val="BodyText"/>
      </w:pPr>
      <w:r>
        <w:t xml:space="preserve">Спуфинг уже практически неактуален, поскольку придуманы более защищённые протоколы отправки Email (рис. 34).</w:t>
      </w:r>
    </w:p>
    <w:bookmarkStart w:id="158" w:name="fig:034"/>
    <w:p>
      <w:pPr>
        <w:pStyle w:val="CaptionedFigure"/>
      </w:pPr>
      <w:r>
        <w:drawing>
          <wp:inline>
            <wp:extent cx="3733800" cy="1568580"/>
            <wp:effectExtent b="0" l="0" r="0" t="0"/>
            <wp:docPr descr="Рис. 34: Имейл спуфинг" title="" id="156" name="Picture"/>
            <a:graphic>
              <a:graphicData uri="http://schemas.openxmlformats.org/drawingml/2006/picture">
                <pic:pic>
                  <pic:nvPicPr>
                    <pic:cNvPr descr="image/8.1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8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Имейл спуфинг</w:t>
      </w:r>
    </w:p>
    <w:bookmarkEnd w:id="158"/>
    <w:p>
      <w:pPr>
        <w:pStyle w:val="BodyText"/>
      </w:pPr>
      <w:r>
        <w:t xml:space="preserve">Троян маскирутеся под легитимную программу и пытается получить контроль над устройством (рис. 35).</w:t>
      </w:r>
    </w:p>
    <w:bookmarkStart w:id="162" w:name="fig:035"/>
    <w:p>
      <w:pPr>
        <w:pStyle w:val="CaptionedFigure"/>
      </w:pPr>
      <w:r>
        <w:drawing>
          <wp:inline>
            <wp:extent cx="3733800" cy="1601120"/>
            <wp:effectExtent b="0" l="0" r="0" t="0"/>
            <wp:docPr descr="Рис. 35: Вирус-троян" title="" id="160" name="Picture"/>
            <a:graphic>
              <a:graphicData uri="http://schemas.openxmlformats.org/drawingml/2006/picture">
                <pic:pic>
                  <pic:nvPicPr>
                    <pic:cNvPr descr="image/8.2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1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Вирус-троян</w:t>
      </w:r>
    </w:p>
    <w:bookmarkEnd w:id="162"/>
    <w:p>
      <w:pPr>
        <w:pStyle w:val="BodyText"/>
      </w:pPr>
      <w:r>
        <w:t xml:space="preserve">Ключ шифрования в протоколе Signal генерируется при отправке первого сообщения пользователем (рис. 36).</w:t>
      </w:r>
    </w:p>
    <w:bookmarkStart w:id="166" w:name="fig:036"/>
    <w:p>
      <w:pPr>
        <w:pStyle w:val="CaptionedFigure"/>
      </w:pPr>
      <w:r>
        <w:drawing>
          <wp:inline>
            <wp:extent cx="3733800" cy="1617871"/>
            <wp:effectExtent b="0" l="0" r="0" t="0"/>
            <wp:docPr descr="Рис. 36: Signal" title="" id="164" name="Picture"/>
            <a:graphic>
              <a:graphicData uri="http://schemas.openxmlformats.org/drawingml/2006/picture">
                <pic:pic>
                  <pic:nvPicPr>
                    <pic:cNvPr descr="image/9.1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7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Signal</w:t>
      </w:r>
    </w:p>
    <w:bookmarkEnd w:id="166"/>
    <w:p>
      <w:pPr>
        <w:pStyle w:val="BodyText"/>
      </w:pPr>
      <w:r>
        <w:t xml:space="preserve">Сквозное шифрование использует пару ключей для конфеденциального общения узлов (рис. 37).</w:t>
      </w:r>
    </w:p>
    <w:bookmarkStart w:id="170" w:name="fig:037"/>
    <w:p>
      <w:pPr>
        <w:pStyle w:val="CaptionedFigure"/>
      </w:pPr>
      <w:r>
        <w:drawing>
          <wp:inline>
            <wp:extent cx="3733800" cy="1607115"/>
            <wp:effectExtent b="0" l="0" r="0" t="0"/>
            <wp:docPr descr="Рис. 37: Суть сквозного шифрования" title="" id="168" name="Picture"/>
            <a:graphic>
              <a:graphicData uri="http://schemas.openxmlformats.org/drawingml/2006/picture">
                <pic:pic>
                  <pic:nvPicPr>
                    <pic:cNvPr descr="image/9.2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7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Суть сквозного шифрования</w:t>
      </w:r>
    </w:p>
    <w:bookmarkEnd w:id="170"/>
    <w:p>
      <w:pPr>
        <w:pStyle w:val="BodyText"/>
      </w:pPr>
      <w:r>
        <w:t xml:space="preserve">Для правильной работы криптографических примитивов требуется наличие пары ключей у всех участников общения (рис. 38).</w:t>
      </w:r>
    </w:p>
    <w:bookmarkEnd w:id="171"/>
    <w:bookmarkStart w:id="236" w:name="прохождение-третьего-этап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Прохождение третьего этапа</w:t>
      </w:r>
    </w:p>
    <w:bookmarkStart w:id="175" w:name="fig:038"/>
    <w:p>
      <w:pPr>
        <w:pStyle w:val="CaptionedFigure"/>
      </w:pPr>
      <w:r>
        <w:drawing>
          <wp:inline>
            <wp:extent cx="3733800" cy="1574338"/>
            <wp:effectExtent b="0" l="0" r="0" t="0"/>
            <wp:docPr descr="Рис. 38: Ассимитричные криптографические примитивы" title="" id="173" name="Picture"/>
            <a:graphic>
              <a:graphicData uri="http://schemas.openxmlformats.org/drawingml/2006/picture">
                <pic:pic>
                  <pic:nvPicPr>
                    <pic:cNvPr descr="image/10.1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4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Ассимитричные криптографические примитивы</w:t>
      </w:r>
    </w:p>
    <w:bookmarkEnd w:id="175"/>
    <w:p>
      <w:pPr>
        <w:pStyle w:val="BodyText"/>
      </w:pPr>
      <w:r>
        <w:t xml:space="preserve">Криптографическая хэш-функция не обеспечивает конфиденциальность захэшированных данных, поскольку её невозможно вычислить в обратном порядке (рис. 39).</w:t>
      </w:r>
    </w:p>
    <w:bookmarkStart w:id="179" w:name="fig:039"/>
    <w:p>
      <w:pPr>
        <w:pStyle w:val="CaptionedFigure"/>
      </w:pPr>
      <w:r>
        <w:drawing>
          <wp:inline>
            <wp:extent cx="3733800" cy="1850580"/>
            <wp:effectExtent b="0" l="0" r="0" t="0"/>
            <wp:docPr descr="Рис. 39: Криптографическая хэш-функция" title="" id="177" name="Picture"/>
            <a:graphic>
              <a:graphicData uri="http://schemas.openxmlformats.org/drawingml/2006/picture">
                <pic:pic>
                  <pic:nvPicPr>
                    <pic:cNvPr descr="image/10.2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0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Криптографическая хэш-функция</w:t>
      </w:r>
    </w:p>
    <w:bookmarkEnd w:id="179"/>
    <w:p>
      <w:pPr>
        <w:pStyle w:val="BodyText"/>
      </w:pPr>
      <w:r>
        <w:t xml:space="preserve">Перечисление алгоритмов цифровой подписи (рис. 40).</w:t>
      </w:r>
    </w:p>
    <w:bookmarkStart w:id="183" w:name="fig:040"/>
    <w:p>
      <w:pPr>
        <w:pStyle w:val="CaptionedFigure"/>
      </w:pPr>
      <w:r>
        <w:drawing>
          <wp:inline>
            <wp:extent cx="3733800" cy="1928481"/>
            <wp:effectExtent b="0" l="0" r="0" t="0"/>
            <wp:docPr descr="Рис. 40: Алгоритмы цифровой подписи" title="" id="181" name="Picture"/>
            <a:graphic>
              <a:graphicData uri="http://schemas.openxmlformats.org/drawingml/2006/picture">
                <pic:pic>
                  <pic:nvPicPr>
                    <pic:cNvPr descr="image/10.3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8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Алгоритмы цифровой подписи</w:t>
      </w:r>
    </w:p>
    <w:bookmarkEnd w:id="183"/>
    <w:p>
      <w:pPr>
        <w:pStyle w:val="BodyText"/>
      </w:pPr>
      <w:r>
        <w:t xml:space="preserve">Код аутентификации сообщения относится к симметричным примитивам, поскольку используется симметричное шифрование (рис. 41).</w:t>
      </w:r>
    </w:p>
    <w:bookmarkStart w:id="187" w:name="fig:041"/>
    <w:p>
      <w:pPr>
        <w:pStyle w:val="CaptionedFigure"/>
      </w:pPr>
      <w:r>
        <w:drawing>
          <wp:inline>
            <wp:extent cx="3733800" cy="1401391"/>
            <wp:effectExtent b="0" l="0" r="0" t="0"/>
            <wp:docPr descr="Рис. 41: Код аутентификации сообщения" title="" id="185" name="Picture"/>
            <a:graphic>
              <a:graphicData uri="http://schemas.openxmlformats.org/drawingml/2006/picture">
                <pic:pic>
                  <pic:nvPicPr>
                    <pic:cNvPr descr="image/10.4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1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Код аутентификации сообщения</w:t>
      </w:r>
    </w:p>
    <w:bookmarkEnd w:id="187"/>
    <w:p>
      <w:pPr>
        <w:pStyle w:val="BodyText"/>
      </w:pPr>
      <w:r>
        <w:t xml:space="preserve">Определение обмена ключами Диффи-Хеллмана (рис. 42).</w:t>
      </w:r>
    </w:p>
    <w:bookmarkStart w:id="191" w:name="fig:042"/>
    <w:p>
      <w:pPr>
        <w:pStyle w:val="CaptionedFigure"/>
      </w:pPr>
      <w:r>
        <w:drawing>
          <wp:inline>
            <wp:extent cx="3733800" cy="1599267"/>
            <wp:effectExtent b="0" l="0" r="0" t="0"/>
            <wp:docPr descr="Рис. 42: Обмен ключами Диффи-Хеллмена" title="" id="189" name="Picture"/>
            <a:graphic>
              <a:graphicData uri="http://schemas.openxmlformats.org/drawingml/2006/picture">
                <pic:pic>
                  <pic:nvPicPr>
                    <pic:cNvPr descr="image/10.5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9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Обмен ключами Диффи-Хеллмена</w:t>
      </w:r>
    </w:p>
    <w:bookmarkEnd w:id="191"/>
    <w:p>
      <w:pPr>
        <w:pStyle w:val="BodyText"/>
      </w:pPr>
      <w:r>
        <w:t xml:space="preserve">Протокол электронной цифровой подписи отностися к протоколам с публичным ключом, ведь пользователи могут проверить подпись этим ключом (рис. 43).</w:t>
      </w:r>
    </w:p>
    <w:bookmarkStart w:id="195" w:name="fig:043"/>
    <w:p>
      <w:pPr>
        <w:pStyle w:val="CaptionedFigure"/>
      </w:pPr>
      <w:r>
        <w:drawing>
          <wp:inline>
            <wp:extent cx="3733800" cy="1436076"/>
            <wp:effectExtent b="0" l="0" r="0" t="0"/>
            <wp:docPr descr="Рис. 43: Протокол электронной цифровой подписи" title="" id="193" name="Picture"/>
            <a:graphic>
              <a:graphicData uri="http://schemas.openxmlformats.org/drawingml/2006/picture">
                <pic:pic>
                  <pic:nvPicPr>
                    <pic:cNvPr descr="image/11.1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6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Протокол электронной цифровой подписи</w:t>
      </w:r>
    </w:p>
    <w:bookmarkEnd w:id="195"/>
    <w:p>
      <w:pPr>
        <w:pStyle w:val="BodyText"/>
      </w:pPr>
      <w:r>
        <w:t xml:space="preserve">Механизм работы верификации ЭЦП (рис. 44).</w:t>
      </w:r>
    </w:p>
    <w:bookmarkStart w:id="199" w:name="fig:044"/>
    <w:p>
      <w:pPr>
        <w:pStyle w:val="CaptionedFigure"/>
      </w:pPr>
      <w:r>
        <w:drawing>
          <wp:inline>
            <wp:extent cx="3733800" cy="1602992"/>
            <wp:effectExtent b="0" l="0" r="0" t="0"/>
            <wp:docPr descr="Рис. 44: Верификация ЭЦП" title="" id="197" name="Picture"/>
            <a:graphic>
              <a:graphicData uri="http://schemas.openxmlformats.org/drawingml/2006/picture">
                <pic:pic>
                  <pic:nvPicPr>
                    <pic:cNvPr descr="image/11.2.png" id="198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2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Верификация ЭЦП</w:t>
      </w:r>
    </w:p>
    <w:bookmarkEnd w:id="199"/>
    <w:p>
      <w:pPr>
        <w:pStyle w:val="BodyText"/>
      </w:pPr>
      <w:r>
        <w:t xml:space="preserve">ЭПС не обеспечивает конфиденциальность, поскольку содержит информацию о пользователе, сделавшем эту подпись (рис. 45).</w:t>
      </w:r>
    </w:p>
    <w:bookmarkStart w:id="203" w:name="fig:045"/>
    <w:p>
      <w:pPr>
        <w:pStyle w:val="CaptionedFigure"/>
      </w:pPr>
      <w:r>
        <w:drawing>
          <wp:inline>
            <wp:extent cx="3733800" cy="1581035"/>
            <wp:effectExtent b="0" l="0" r="0" t="0"/>
            <wp:docPr descr="Рис. 45: ЭЦП не обеспечивает" title="" id="201" name="Picture"/>
            <a:graphic>
              <a:graphicData uri="http://schemas.openxmlformats.org/drawingml/2006/picture">
                <pic:pic>
                  <pic:nvPicPr>
                    <pic:cNvPr descr="image/11.3.png" id="202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1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ЭЦП не обеспечивает</w:t>
      </w:r>
    </w:p>
    <w:bookmarkEnd w:id="203"/>
    <w:p>
      <w:pPr>
        <w:pStyle w:val="BodyText"/>
      </w:pPr>
      <w:r>
        <w:t xml:space="preserve">Усиленная квалифицированная электронная подпись при отправки налоговой отчётности в ФНС требуется для обеспечения юридической значимости, безопасности и достоверности (рис. 46).</w:t>
      </w:r>
    </w:p>
    <w:bookmarkStart w:id="207" w:name="fig:046"/>
    <w:p>
      <w:pPr>
        <w:pStyle w:val="CaptionedFigure"/>
      </w:pPr>
      <w:r>
        <w:drawing>
          <wp:inline>
            <wp:extent cx="3733800" cy="1490273"/>
            <wp:effectExtent b="0" l="0" r="0" t="0"/>
            <wp:docPr descr="Рис. 46: Тип ЭЦП для отправки налоговой отчётности в ФНС" title="" id="205" name="Picture"/>
            <a:graphic>
              <a:graphicData uri="http://schemas.openxmlformats.org/drawingml/2006/picture">
                <pic:pic>
                  <pic:nvPicPr>
                    <pic:cNvPr descr="image/11.4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0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Тип ЭЦП для отправки налоговой отчётности в ФНС</w:t>
      </w:r>
    </w:p>
    <w:bookmarkEnd w:id="207"/>
    <w:p>
      <w:pPr>
        <w:pStyle w:val="BodyText"/>
      </w:pPr>
      <w:r>
        <w:t xml:space="preserve">Сертификаты для доменов выдают сертифицированные центры (рис. 47).</w:t>
      </w:r>
    </w:p>
    <w:bookmarkStart w:id="211" w:name="fig:047"/>
    <w:p>
      <w:pPr>
        <w:pStyle w:val="CaptionedFigure"/>
      </w:pPr>
      <w:r>
        <w:drawing>
          <wp:inline>
            <wp:extent cx="3733800" cy="1580803"/>
            <wp:effectExtent b="0" l="0" r="0" t="0"/>
            <wp:docPr descr="Рис. 47: CA" title="" id="209" name="Picture"/>
            <a:graphic>
              <a:graphicData uri="http://schemas.openxmlformats.org/drawingml/2006/picture">
                <pic:pic>
                  <pic:nvPicPr>
                    <pic:cNvPr descr="image/11.5.pn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0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CA</w:t>
      </w:r>
    </w:p>
    <w:bookmarkEnd w:id="211"/>
    <w:p>
      <w:pPr>
        <w:pStyle w:val="BodyText"/>
      </w:pPr>
      <w:r>
        <w:t xml:space="preserve">Список платёжных систем (рис. 48).</w:t>
      </w:r>
    </w:p>
    <w:bookmarkStart w:id="215" w:name="fig:048"/>
    <w:p>
      <w:pPr>
        <w:pStyle w:val="CaptionedFigure"/>
      </w:pPr>
      <w:r>
        <w:drawing>
          <wp:inline>
            <wp:extent cx="3733800" cy="2038383"/>
            <wp:effectExtent b="0" l="0" r="0" t="0"/>
            <wp:docPr descr="Рис. 48: Платёжные системы" title="" id="213" name="Picture"/>
            <a:graphic>
              <a:graphicData uri="http://schemas.openxmlformats.org/drawingml/2006/picture">
                <pic:pic>
                  <pic:nvPicPr>
                    <pic:cNvPr descr="image/12.1.png" id="214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8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Платёжные системы</w:t>
      </w:r>
    </w:p>
    <w:bookmarkEnd w:id="215"/>
    <w:p>
      <w:pPr>
        <w:pStyle w:val="BodyText"/>
      </w:pPr>
      <w:r>
        <w:t xml:space="preserve">Многофакторная аутентификация подразумевает собой ввод нескольких ключей для доступа к информации (рис. 49).</w:t>
      </w:r>
    </w:p>
    <w:bookmarkStart w:id="219" w:name="fig:049"/>
    <w:p>
      <w:pPr>
        <w:pStyle w:val="CaptionedFigure"/>
      </w:pPr>
      <w:r>
        <w:drawing>
          <wp:inline>
            <wp:extent cx="3733800" cy="1854024"/>
            <wp:effectExtent b="0" l="0" r="0" t="0"/>
            <wp:docPr descr="Рис. 49: Примеры многофакторной аутентификации" title="" id="217" name="Picture"/>
            <a:graphic>
              <a:graphicData uri="http://schemas.openxmlformats.org/drawingml/2006/picture">
                <pic:pic>
                  <pic:nvPicPr>
                    <pic:cNvPr descr="image/12.2.png" id="218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4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Примеры многофакторной аутентификации</w:t>
      </w:r>
    </w:p>
    <w:bookmarkEnd w:id="219"/>
    <w:p>
      <w:pPr>
        <w:pStyle w:val="BodyText"/>
      </w:pPr>
      <w:r>
        <w:t xml:space="preserve">Для безопасности платёжных счетов пользователей при онлайн оплатах сегодня используется многофакторная аутентификация перед банком-эмитентом (рис. 50).</w:t>
      </w:r>
    </w:p>
    <w:bookmarkStart w:id="223" w:name="fig:050"/>
    <w:p>
      <w:pPr>
        <w:pStyle w:val="CaptionedFigure"/>
      </w:pPr>
      <w:r>
        <w:drawing>
          <wp:inline>
            <wp:extent cx="3733800" cy="1567234"/>
            <wp:effectExtent b="0" l="0" r="0" t="0"/>
            <wp:docPr descr="Рис. 50: Аутентификация при онлайн платежах" title="" id="221" name="Picture"/>
            <a:graphic>
              <a:graphicData uri="http://schemas.openxmlformats.org/drawingml/2006/picture">
                <pic:pic>
                  <pic:nvPicPr>
                    <pic:cNvPr descr="image/12.3.png" id="222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7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Аутентификация при онлайн платежах</w:t>
      </w:r>
    </w:p>
    <w:bookmarkEnd w:id="223"/>
    <w:p>
      <w:pPr>
        <w:pStyle w:val="BodyText"/>
      </w:pPr>
      <w:r>
        <w:t xml:space="preserve">Устройство proof of work (рис. 51).</w:t>
      </w:r>
    </w:p>
    <w:bookmarkStart w:id="227" w:name="fig:051"/>
    <w:p>
      <w:pPr>
        <w:pStyle w:val="CaptionedFigure"/>
      </w:pPr>
      <w:r>
        <w:drawing>
          <wp:inline>
            <wp:extent cx="3733800" cy="1602958"/>
            <wp:effectExtent b="0" l="0" r="0" t="0"/>
            <wp:docPr descr="Рис. 51: Proof of work" title="" id="225" name="Picture"/>
            <a:graphic>
              <a:graphicData uri="http://schemas.openxmlformats.org/drawingml/2006/picture">
                <pic:pic>
                  <pic:nvPicPr>
                    <pic:cNvPr descr="image/13.1.png" id="226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2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51: Proof of work</w:t>
      </w:r>
    </w:p>
    <w:bookmarkEnd w:id="227"/>
    <w:p>
      <w:pPr>
        <w:pStyle w:val="BodyText"/>
      </w:pPr>
      <w:r>
        <w:t xml:space="preserve">Консенсус позволяет участникам блокчейна согласовывать операции без доверия друг к другу (рис. 52).</w:t>
      </w:r>
    </w:p>
    <w:bookmarkStart w:id="231" w:name="fig:052"/>
    <w:p>
      <w:pPr>
        <w:pStyle w:val="CaptionedFigure"/>
      </w:pPr>
      <w:r>
        <w:drawing>
          <wp:inline>
            <wp:extent cx="3733800" cy="1868519"/>
            <wp:effectExtent b="0" l="0" r="0" t="0"/>
            <wp:docPr descr="Рис. 52: Consensus" title="" id="229" name="Picture"/>
            <a:graphic>
              <a:graphicData uri="http://schemas.openxmlformats.org/drawingml/2006/picture">
                <pic:pic>
                  <pic:nvPicPr>
                    <pic:cNvPr descr="image/13.2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8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52: Consensus</w:t>
      </w:r>
    </w:p>
    <w:bookmarkEnd w:id="231"/>
    <w:p>
      <w:pPr>
        <w:pStyle w:val="BodyText"/>
      </w:pPr>
      <w:r>
        <w:t xml:space="preserve">Все участники блокчейна хранят цифровую подпись (рис. 53).</w:t>
      </w:r>
    </w:p>
    <w:bookmarkStart w:id="235" w:name="fig:053"/>
    <w:p>
      <w:pPr>
        <w:pStyle w:val="CaptionedFigure"/>
      </w:pPr>
      <w:r>
        <w:drawing>
          <wp:inline>
            <wp:extent cx="3733800" cy="1596499"/>
            <wp:effectExtent b="0" l="0" r="0" t="0"/>
            <wp:docPr descr="Рис. 53: Что хранят участники блокчейна" title="" id="233" name="Picture"/>
            <a:graphic>
              <a:graphicData uri="http://schemas.openxmlformats.org/drawingml/2006/picture">
                <pic:pic>
                  <pic:nvPicPr>
                    <pic:cNvPr descr="image/13.3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6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53: Что хранят участники блокчейна</w:t>
      </w:r>
    </w:p>
    <w:bookmarkEnd w:id="235"/>
    <w:p>
      <w:pPr>
        <w:pStyle w:val="BodyText"/>
      </w:pPr>
      <w:r>
        <w:t xml:space="preserve">Данный курс не предусматривает выдачу сертификатов, поэтому прикладываю скриншот-доказательство прохождения курса (рис. 54).</w:t>
      </w:r>
    </w:p>
    <w:bookmarkEnd w:id="236"/>
    <w:bookmarkStart w:id="241" w:name="сертификат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Сертификат</w:t>
      </w:r>
    </w:p>
    <w:bookmarkStart w:id="240" w:name="fig:054"/>
    <w:p>
      <w:pPr>
        <w:pStyle w:val="CaptionedFigure"/>
      </w:pPr>
      <w:r>
        <w:drawing>
          <wp:inline>
            <wp:extent cx="3733800" cy="2099411"/>
            <wp:effectExtent b="0" l="0" r="0" t="0"/>
            <wp:docPr descr="Рис. 54: “Сертификат”" title="" id="238" name="Picture"/>
            <a:graphic>
              <a:graphicData uri="http://schemas.openxmlformats.org/drawingml/2006/picture">
                <pic:pic>
                  <pic:nvPicPr>
                    <pic:cNvPr descr="image/cert.png" id="239" name="Picture"/>
                    <pic:cNvPicPr>
                      <a:picLocks noChangeArrowheads="1"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54:</w:t>
      </w:r>
      <w:r>
        <w:t xml:space="preserve"> </w:t>
      </w:r>
      <w:r>
        <w:t xml:space="preserve">“Сертификат”</w:t>
      </w:r>
    </w:p>
    <w:bookmarkEnd w:id="240"/>
    <w:bookmarkEnd w:id="241"/>
    <w:bookmarkEnd w:id="242"/>
    <w:bookmarkStart w:id="24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прохождения внешнего курса мы узнали, как обеспечивается безопасность в сети, с помощью каких протоколов общаются устройства в ней, как защитить свои устройства и аккаунты от злоумышленников, а также рассмотрели криптографическую составляющую сети.</w:t>
      </w:r>
    </w:p>
    <w:bookmarkEnd w:id="24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172" Target="media/rId172.png" /><Relationship Type="http://schemas.openxmlformats.org/officeDocument/2006/relationships/image" Id="rId176" Target="media/rId176.png" /><Relationship Type="http://schemas.openxmlformats.org/officeDocument/2006/relationships/image" Id="rId180" Target="media/rId180.png" /><Relationship Type="http://schemas.openxmlformats.org/officeDocument/2006/relationships/image" Id="rId184" Target="media/rId184.png" /><Relationship Type="http://schemas.openxmlformats.org/officeDocument/2006/relationships/image" Id="rId188" Target="media/rId188.png" /><Relationship Type="http://schemas.openxmlformats.org/officeDocument/2006/relationships/image" Id="rId192" Target="media/rId192.png" /><Relationship Type="http://schemas.openxmlformats.org/officeDocument/2006/relationships/image" Id="rId196" Target="media/rId196.png" /><Relationship Type="http://schemas.openxmlformats.org/officeDocument/2006/relationships/image" Id="rId200" Target="media/rId200.png" /><Relationship Type="http://schemas.openxmlformats.org/officeDocument/2006/relationships/image" Id="rId204" Target="media/rId204.png" /><Relationship Type="http://schemas.openxmlformats.org/officeDocument/2006/relationships/image" Id="rId208" Target="media/rId208.png" /><Relationship Type="http://schemas.openxmlformats.org/officeDocument/2006/relationships/image" Id="rId212" Target="media/rId212.png" /><Relationship Type="http://schemas.openxmlformats.org/officeDocument/2006/relationships/image" Id="rId216" Target="media/rId216.png" /><Relationship Type="http://schemas.openxmlformats.org/officeDocument/2006/relationships/image" Id="rId220" Target="media/rId220.png" /><Relationship Type="http://schemas.openxmlformats.org/officeDocument/2006/relationships/image" Id="rId224" Target="media/rId224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1" Target="media/rId151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167" Target="media/rId167.png" /><Relationship Type="http://schemas.openxmlformats.org/officeDocument/2006/relationships/image" Id="rId237" Target="media/rId2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прохождению внешнего курса</dc:title>
  <dc:creator>Бережной Иван Александрович</dc:creator>
  <dc:language>ru-RU</dc:language>
  <cp:keywords/>
  <dcterms:created xsi:type="dcterms:W3CDTF">2025-05-17T16:06:02Z</dcterms:created>
  <dcterms:modified xsi:type="dcterms:W3CDTF">2025-05-17T16:06:02Z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otTit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Основы информационной безопасности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