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417"/>
        <w:gridCol w:w="7483"/>
      </w:tblGrid>
      <w:tr>
        <w:trPr>
          <w:trHeight w:val="12359" w:hRule="exact"/>
        </w:trPr>
        <w:tc>
          <w:tcPr>
            <w:tcW w:type="dxa" w:w="1417"/>
            <w:shd w:fill="D9D9D9"/>
            <w:vAlign w:val="bottom"/>
            <w:tcMar>
              <w:top w:w="100" w:type="dxa"/>
              <w:bottom w:w="160" w:type="dxa"/>
              <w:left w:w="110" w:type="dxa"/>
              <w:right w:w="110" w:type="dxa"/>
            </w:tcMar>
          </w:tcPr>
          <w:p>
            <w:pPr>
              <w:jc w:val="left"/>
            </w:pPr>
            <w:r>
              <w:rPr>
                <w:rFonts w:ascii="Times New Roman" w:hAnsi="Times New Roman" w:eastAsia="宋体"/>
                <w:color w:val="000000"/>
                <w:sz w:val="15"/>
              </w:rPr>
              <w:t>分  类：项目交付文档</w:t>
              <w:br/>
              <w:t>使用者：项目组</w:t>
              <w:br/>
              <w:t>文档编号：</w:t>
              <w:br/>
              <w:t>SC-2026-01-01</w:t>
              <w:br/>
              <w:br/>
              <w:t>软件工程实训项目组</w:t>
            </w:r>
          </w:p>
        </w:tc>
        <w:tc>
          <w:tcPr>
            <w:tcW w:type="dxa" w:w="7483"/>
            <w:vAlign w:val="top"/>
            <w:tcMar>
              <w:top w:w="20" w:type="dxa"/>
              <w:bottom w:w="20" w:type="dxa"/>
              <w:left w:w="240" w:type="dxa"/>
              <w:right w:w="80" w:type="dxa"/>
            </w:tcMar>
          </w:tcPr>
          <w:p>
            <w:pPr>
              <w:spacing w:after="0"/>
            </w:pPr>
          </w:p>
          <w:tbl>
            <w:tblPr>
              <w:tblW w:type="auto" w:w="0"/>
              <w:jc w:val="right"/>
              <w:tblLayout w:type="fixed"/>
              <w:tblLook w:firstColumn="1" w:firstRow="1" w:lastColumn="0" w:lastRow="0" w:noHBand="0" w:noVBand="1" w:val="04A0"/>
              <w:tblBorders>
                <w:top w:val="single" w:sz="5" w:color="8A8A8A"/>
                <w:left w:val="single" w:sz="5" w:color="8A8A8A"/>
                <w:bottom w:val="single" w:sz="5" w:color="8A8A8A"/>
                <w:right w:val="single" w:sz="5" w:color="8A8A8A"/>
                <w:insideH w:val="single" w:sz="5" w:color="8A8A8A"/>
                <w:insideV w:val="single" w:sz="5" w:color="8A8A8A"/>
              </w:tblBorders>
            </w:tblPr>
            <w:tblGrid>
              <w:gridCol w:w="3741"/>
              <w:gridCol w:w="3741"/>
            </w:tblGrid>
            <w:tr>
              <w:tc>
                <w:tcPr>
                  <w:tcW w:type="dxa" w:w="1191"/>
                  <w:tcMar>
                    <w:top w:w="20" w:type="dxa"/>
                    <w:bottom w:w="20" w:type="dxa"/>
                    <w:left w:w="50" w:type="dxa"/>
                    <w:right w:w="50" w:type="dxa"/>
                  </w:tcMar>
                </w:tcPr>
                <w:p>
                  <w:pPr>
                    <w:jc w:val="center"/>
                  </w:pPr>
                  <w:r>
                    <w:rPr>
                      <w:rFonts w:ascii="Times New Roman" w:hAnsi="Times New Roman" w:eastAsia="宋体"/>
                      <w:b w:val="0"/>
                      <w:color w:val="000000"/>
                      <w:sz w:val="15"/>
                    </w:rPr>
                    <w:t>卷  号</w:t>
                  </w:r>
                </w:p>
              </w:tc>
              <w:tc>
                <w:tcPr>
                  <w:tcW w:type="dxa" w:w="2041"/>
                  <w:tcMar>
                    <w:top w:w="20" w:type="dxa"/>
                    <w:bottom w:w="20" w:type="dxa"/>
                    <w:left w:w="50" w:type="dxa"/>
                    <w:right w:w="50" w:type="dxa"/>
                  </w:tcMar>
                </w:tcPr>
                <w:p>
                  <w:pPr>
                    <w:jc w:val="center"/>
                  </w:pPr>
                  <w:r>
                    <w:rPr>
                      <w:rFonts w:ascii="Times New Roman" w:hAnsi="Times New Roman" w:eastAsia="宋体"/>
                      <w:b w:val="0"/>
                      <w:color w:val="000000"/>
                      <w:sz w:val="15"/>
                    </w:rPr>
                  </w:r>
                </w:p>
              </w:tc>
            </w:tr>
            <w:tr>
              <w:tc>
                <w:tcPr>
                  <w:tcW w:type="dxa" w:w="1191"/>
                  <w:tcMar>
                    <w:top w:w="20" w:type="dxa"/>
                    <w:bottom w:w="20" w:type="dxa"/>
                    <w:left w:w="50" w:type="dxa"/>
                    <w:right w:w="50" w:type="dxa"/>
                  </w:tcMar>
                </w:tcPr>
                <w:p>
                  <w:pPr>
                    <w:jc w:val="center"/>
                  </w:pPr>
                  <w:r>
                    <w:rPr>
                      <w:rFonts w:ascii="Times New Roman" w:hAnsi="Times New Roman" w:eastAsia="宋体"/>
                      <w:b w:val="0"/>
                      <w:color w:val="000000"/>
                      <w:sz w:val="15"/>
                    </w:rPr>
                    <w:t>卷内编号</w:t>
                  </w:r>
                </w:p>
              </w:tc>
              <w:tc>
                <w:tcPr>
                  <w:tcW w:type="dxa" w:w="2041"/>
                  <w:tcMar>
                    <w:top w:w="20" w:type="dxa"/>
                    <w:bottom w:w="20" w:type="dxa"/>
                    <w:left w:w="50" w:type="dxa"/>
                    <w:right w:w="50" w:type="dxa"/>
                  </w:tcMar>
                </w:tcPr>
                <w:p>
                  <w:pPr>
                    <w:jc w:val="center"/>
                  </w:pPr>
                  <w:r>
                    <w:rPr>
                      <w:rFonts w:ascii="Times New Roman" w:hAnsi="Times New Roman" w:eastAsia="宋体"/>
                      <w:b w:val="0"/>
                      <w:color w:val="000000"/>
                      <w:sz w:val="15"/>
                    </w:rPr>
                  </w:r>
                </w:p>
              </w:tc>
            </w:tr>
            <w:tr>
              <w:tc>
                <w:tcPr>
                  <w:tcW w:type="dxa" w:w="1191"/>
                  <w:tcMar>
                    <w:top w:w="20" w:type="dxa"/>
                    <w:bottom w:w="20" w:type="dxa"/>
                    <w:left w:w="50" w:type="dxa"/>
                    <w:right w:w="50" w:type="dxa"/>
                  </w:tcMar>
                </w:tcPr>
                <w:p>
                  <w:pPr>
                    <w:jc w:val="center"/>
                  </w:pPr>
                  <w:r>
                    <w:rPr>
                      <w:rFonts w:ascii="Times New Roman" w:hAnsi="Times New Roman" w:eastAsia="宋体"/>
                      <w:b w:val="0"/>
                      <w:color w:val="000000"/>
                      <w:sz w:val="15"/>
                    </w:rPr>
                    <w:t>密  级</w:t>
                  </w:r>
                </w:p>
              </w:tc>
              <w:tc>
                <w:tcPr>
                  <w:tcW w:type="dxa" w:w="2041"/>
                  <w:tcMar>
                    <w:top w:w="20" w:type="dxa"/>
                    <w:bottom w:w="20" w:type="dxa"/>
                    <w:left w:w="50" w:type="dxa"/>
                    <w:right w:w="50" w:type="dxa"/>
                  </w:tcMar>
                </w:tcPr>
                <w:p>
                  <w:pPr>
                    <w:jc w:val="center"/>
                  </w:pPr>
                  <w:r>
                    <w:rPr>
                      <w:rFonts w:ascii="Times New Roman" w:hAnsi="Times New Roman" w:eastAsia="宋体"/>
                      <w:b w:val="0"/>
                      <w:color w:val="000000"/>
                      <w:sz w:val="15"/>
                    </w:rPr>
                  </w:r>
                </w:p>
              </w:tc>
            </w:tr>
          </w:tbl>
          <w:p/>
          <w:p>
            <w:pPr>
              <w:spacing w:after="120" w:line="324" w:lineRule="auto"/>
              <w:snapToGrid w:val="0"/>
            </w:pPr>
            <w:r>
              <w:rPr>
                <w:rFonts w:ascii="Times New Roman" w:hAnsi="Times New Roman" w:eastAsia="宋体"/>
                <w:color w:val="000000"/>
                <w:sz w:val="8"/>
              </w:rPr>
            </w:r>
          </w:p>
          <w:p>
            <w:pPr>
              <w:spacing w:after="120" w:line="324" w:lineRule="auto"/>
              <w:snapToGrid w:val="0"/>
            </w:pPr>
            <w:r>
              <w:rPr>
                <w:rFonts w:ascii="Times New Roman" w:hAnsi="Times New Roman" w:eastAsia="宋体"/>
                <w:color w:val="000000"/>
                <w:sz w:val="8"/>
              </w:rPr>
            </w:r>
          </w:p>
          <w:p>
            <w:pPr>
              <w:spacing w:after="120" w:line="324" w:lineRule="auto"/>
              <w:snapToGrid w:val="0"/>
            </w:pPr>
            <w:r>
              <w:rPr>
                <w:rFonts w:ascii="Times New Roman" w:hAnsi="Times New Roman" w:eastAsia="宋体"/>
                <w:color w:val="000000"/>
                <w:sz w:val="8"/>
              </w:rPr>
            </w:r>
          </w:p>
          <w:p>
            <w:pPr>
              <w:spacing w:after="120" w:line="324" w:lineRule="auto"/>
              <w:snapToGrid w:val="0"/>
            </w:pPr>
            <w:r>
              <w:rPr>
                <w:rFonts w:ascii="Times New Roman" w:hAnsi="Times New Roman" w:eastAsia="宋体"/>
                <w:color w:val="000000"/>
                <w:sz w:val="8"/>
              </w:rPr>
            </w:r>
          </w:p>
          <w:p>
            <w:pPr>
              <w:spacing w:after="400" w:line="324" w:lineRule="auto"/>
              <w:jc w:val="center"/>
              <w:snapToGrid w:val="0"/>
            </w:pPr>
            <w:r>
              <w:rPr>
                <w:rFonts w:ascii="Times New Roman" w:hAnsi="Times New Roman" w:eastAsia="黑体"/>
                <w:b/>
                <w:color w:val="000000"/>
                <w:sz w:val="38"/>
              </w:rPr>
              <w:t>智慧医养大数据公共服务平台</w:t>
            </w:r>
            <w:r>
              <w:br/>
            </w:r>
            <w:r>
              <w:rPr>
                <w:rFonts w:ascii="Times New Roman" w:hAnsi="Times New Roman" w:eastAsia="黑体"/>
                <w:b/>
                <w:color w:val="000000"/>
                <w:sz w:val="38"/>
              </w:rPr>
              <w:t>大数据决策分析系统</w:t>
            </w:r>
          </w:p>
          <w:p>
            <w:pPr>
              <w:pStyle w:val="Title"/>
              <w:spacing w:after="560" w:line="324" w:lineRule="auto"/>
              <w:jc w:val="center"/>
              <w:snapToGrid w:val="0"/>
            </w:pPr>
            <w:r>
              <w:rPr>
                <w:rFonts w:ascii="Times New Roman" w:hAnsi="Times New Roman" w:eastAsia="黑体"/>
                <w:b/>
                <w:color w:val="000000"/>
                <w:sz w:val="50"/>
              </w:rPr>
              <w:t>软件需求规范</w:t>
            </w:r>
          </w:p>
          <w:p>
            <w:pPr>
              <w:spacing w:after="160" w:line="324" w:lineRule="auto"/>
              <w:snapToGrid w:val="0"/>
            </w:pPr>
            <w:r>
              <w:rPr>
                <w:rFonts w:ascii="Times New Roman" w:hAnsi="Times New Roman" w:eastAsia="宋体"/>
                <w:color w:val="000000"/>
                <w:sz w:val="21"/>
              </w:rPr>
              <w:t>项 目 承 担 部 门：  软件工程实训项目组</w:t>
            </w:r>
          </w:p>
          <w:p>
            <w:pPr>
              <w:spacing w:after="160" w:line="324" w:lineRule="auto"/>
              <w:snapToGrid w:val="0"/>
            </w:pPr>
            <w:r>
              <w:rPr>
                <w:rFonts w:ascii="Times New Roman" w:hAnsi="Times New Roman" w:eastAsia="宋体"/>
                <w:color w:val="000000"/>
                <w:sz w:val="21"/>
              </w:rPr>
              <w:t>撰 写 人（签名）：  周虹宏主责，全员参与</w:t>
            </w:r>
          </w:p>
          <w:p>
            <w:pPr>
              <w:spacing w:after="160" w:line="324" w:lineRule="auto"/>
              <w:snapToGrid w:val="0"/>
            </w:pPr>
            <w:r>
              <w:rPr>
                <w:rFonts w:ascii="Times New Roman" w:hAnsi="Times New Roman" w:eastAsia="宋体"/>
                <w:color w:val="000000"/>
                <w:sz w:val="21"/>
              </w:rPr>
              <w:t>完 成 日 期：  2026年9月9日</w:t>
            </w:r>
          </w:p>
          <w:p>
            <w:pPr>
              <w:spacing w:after="160" w:line="324" w:lineRule="auto"/>
              <w:snapToGrid w:val="0"/>
            </w:pPr>
            <w:r>
              <w:rPr>
                <w:rFonts w:ascii="Times New Roman" w:hAnsi="Times New Roman" w:eastAsia="宋体"/>
                <w:color w:val="000000"/>
                <w:sz w:val="21"/>
              </w:rPr>
              <w:t>本文档使用部门：  ■项目组  □主管领导  □维护人员  □用户</w:t>
            </w:r>
          </w:p>
          <w:p>
            <w:pPr>
              <w:spacing w:after="160" w:line="324" w:lineRule="auto"/>
              <w:snapToGrid w:val="0"/>
            </w:pPr>
            <w:r>
              <w:rPr>
                <w:rFonts w:ascii="Times New Roman" w:hAnsi="Times New Roman" w:eastAsia="宋体"/>
                <w:color w:val="000000"/>
                <w:sz w:val="21"/>
              </w:rPr>
              <w:t>评审负责人（签名）：  周虹宏</w:t>
            </w:r>
          </w:p>
          <w:p>
            <w:pPr>
              <w:spacing w:after="160" w:line="324" w:lineRule="auto"/>
              <w:snapToGrid w:val="0"/>
            </w:pPr>
            <w:r>
              <w:rPr>
                <w:rFonts w:ascii="Times New Roman" w:hAnsi="Times New Roman" w:eastAsia="宋体"/>
                <w:color w:val="000000"/>
                <w:sz w:val="21"/>
              </w:rPr>
              <w:t>评 审 日 期：  2026年9月9日</w:t>
            </w:r>
          </w:p>
        </w:tc>
      </w:tr>
    </w:tbl>
    <w:p>
      <w:r>
        <w:br w:type="page"/>
      </w:r>
    </w:p>
    <w:p>
      <w:pPr>
        <w:pStyle w:val="Heading1"/>
        <w:spacing w:after="280" w:line="324" w:lineRule="auto"/>
        <w:jc w:val="center"/>
        <w:snapToGrid w:val="0"/>
      </w:pPr>
      <w:r>
        <w:rPr>
          <w:rFonts w:ascii="Times New Roman" w:hAnsi="Times New Roman" w:eastAsia="黑体"/>
          <w:b/>
          <w:color w:val="000000"/>
          <w:sz w:val="32"/>
        </w:rPr>
        <w:t>文档信息</w:t>
      </w:r>
    </w:p>
    <w:tbl>
      <w:tblPr>
        <w:tblW w:type="auto" w:w="0"/>
        <w:jc w:val="center"/>
        <w:tblLayout w:type="autofit"/>
        <w:tblLook w:firstColumn="1" w:firstRow="1" w:lastColumn="0" w:lastRow="0" w:noHBand="0" w:noVBand="1" w:val="04A0"/>
        <w:tblBorders>
          <w:top w:val="single" w:sz="6" w:color="B7B7B7"/>
          <w:left w:val="single" w:sz="6" w:color="B7B7B7"/>
          <w:bottom w:val="single" w:sz="6" w:color="B7B7B7"/>
          <w:right w:val="single" w:sz="6" w:color="B7B7B7"/>
          <w:insideH w:val="single" w:sz="6" w:color="B7B7B7"/>
          <w:insideV w:val="single" w:sz="6" w:color="B7B7B7"/>
        </w:tblBorders>
      </w:tblPr>
      <w:tblGrid>
        <w:gridCol w:w="4513"/>
        <w:gridCol w:w="4513"/>
      </w:tblGrid>
      <w:tr>
        <w:trPr>
          <w:cantSplit/>
          <w:tblHeader/>
        </w:trPr>
        <w:tc>
          <w:tcPr>
            <w:tcW w:type="dxa" w:w="4513"/>
            <w:vAlign w:val="center"/>
            <w:tcMar>
              <w:top w:w="70" w:type="dxa"/>
              <w:bottom w:w="70" w:type="dxa"/>
              <w:left w:w="90" w:type="dxa"/>
              <w:right w:w="90" w:type="dxa"/>
            </w:tcMar>
            <w:shd w:fill="D9D9D9"/>
          </w:tcPr>
          <w:p>
            <w:pPr>
              <w:spacing w:before="20" w:after="20" w:line="276" w:lineRule="auto"/>
              <w:jc w:val="center"/>
            </w:pPr>
            <w:r>
              <w:rPr>
                <w:rFonts w:ascii="Times New Roman" w:hAnsi="Times New Roman" w:eastAsia="黑体"/>
                <w:b/>
                <w:color w:val="000000"/>
                <w:sz w:val="18"/>
              </w:rPr>
              <w:t>文档信息</w:t>
            </w:r>
          </w:p>
        </w:tc>
        <w:tc>
          <w:tcPr>
            <w:tcW w:type="dxa" w:w="4513"/>
            <w:vAlign w:val="center"/>
            <w:tcMar>
              <w:top w:w="70" w:type="dxa"/>
              <w:bottom w:w="70" w:type="dxa"/>
              <w:left w:w="90" w:type="dxa"/>
              <w:right w:w="90" w:type="dxa"/>
            </w:tcMar>
            <w:shd w:fill="D9D9D9"/>
          </w:tcPr>
          <w:p>
            <w:pPr>
              <w:spacing w:before="20" w:after="20" w:line="276" w:lineRule="auto"/>
            </w:pPr>
            <w:r>
              <w:rPr>
                <w:rFonts w:ascii="Times New Roman" w:hAnsi="Times New Roman" w:eastAsia="黑体"/>
                <w:b/>
                <w:color w:val="000000"/>
                <w:sz w:val="18"/>
              </w:rPr>
              <w:t>内容</w:t>
            </w:r>
          </w:p>
        </w:tc>
      </w:tr>
      <w:tr>
        <w:trPr>
          <w:cantSplit/>
        </w:trPr>
        <w:tc>
          <w:tcPr>
            <w:tcW w:type="dxa" w:w="4513"/>
            <w:vAlign w:val="center"/>
            <w:tcMar>
              <w:top w:w="70" w:type="dxa"/>
              <w:bottom w:w="70" w:type="dxa"/>
              <w:left w:w="90" w:type="dxa"/>
              <w:right w:w="90" w:type="dxa"/>
            </w:tcMar>
          </w:tcPr>
          <w:p>
            <w:pPr>
              <w:spacing w:before="20" w:after="20" w:line="276" w:lineRule="auto"/>
              <w:jc w:val="center"/>
            </w:pPr>
            <w:r>
              <w:rPr>
                <w:rFonts w:ascii="Times New Roman" w:hAnsi="Times New Roman" w:eastAsia="宋体"/>
                <w:b w:val="0"/>
                <w:color w:val="000000"/>
                <w:sz w:val="18"/>
              </w:rPr>
              <w:t>标题</w:t>
            </w:r>
          </w:p>
        </w:tc>
        <w:tc>
          <w:tcPr>
            <w:tcW w:type="dxa" w:w="4513"/>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智慧医养大数据决策分析系统 软件需求规范</w:t>
            </w:r>
          </w:p>
        </w:tc>
      </w:tr>
      <w:tr>
        <w:trPr>
          <w:cantSplit/>
        </w:trPr>
        <w:tc>
          <w:tcPr>
            <w:tcW w:type="dxa" w:w="4513"/>
            <w:vAlign w:val="center"/>
            <w:tcMar>
              <w:top w:w="70" w:type="dxa"/>
              <w:bottom w:w="70" w:type="dxa"/>
              <w:left w:w="90" w:type="dxa"/>
              <w:right w:w="90" w:type="dxa"/>
            </w:tcMar>
            <w:shd w:fill="F7F7F7"/>
          </w:tcPr>
          <w:p>
            <w:pPr>
              <w:spacing w:before="20" w:after="20" w:line="276" w:lineRule="auto"/>
              <w:jc w:val="center"/>
            </w:pPr>
            <w:r>
              <w:rPr>
                <w:rFonts w:ascii="Times New Roman" w:hAnsi="Times New Roman" w:eastAsia="宋体"/>
                <w:b w:val="0"/>
                <w:color w:val="000000"/>
                <w:sz w:val="18"/>
              </w:rPr>
              <w:t>作者</w:t>
            </w:r>
          </w:p>
        </w:tc>
        <w:tc>
          <w:tcPr>
            <w:tcW w:type="dxa" w:w="4513"/>
            <w:vAlign w:val="center"/>
            <w:tcMar>
              <w:top w:w="70" w:type="dxa"/>
              <w:bottom w:w="70" w:type="dxa"/>
              <w:left w:w="90" w:type="dxa"/>
              <w:right w:w="90" w:type="dxa"/>
            </w:tcMar>
            <w:shd w:fill="F7F7F7"/>
          </w:tcPr>
          <w:p>
            <w:pPr>
              <w:spacing w:before="20" w:after="20" w:line="276" w:lineRule="auto"/>
            </w:pPr>
            <w:r>
              <w:rPr>
                <w:rFonts w:ascii="Times New Roman" w:hAnsi="Times New Roman" w:eastAsia="宋体"/>
                <w:b w:val="0"/>
                <w:color w:val="000000"/>
                <w:sz w:val="18"/>
              </w:rPr>
              <w:t>周虹宏主责，全员参与</w:t>
            </w:r>
          </w:p>
        </w:tc>
      </w:tr>
      <w:tr>
        <w:trPr>
          <w:cantSplit/>
        </w:trPr>
        <w:tc>
          <w:tcPr>
            <w:tcW w:type="dxa" w:w="4513"/>
            <w:vAlign w:val="center"/>
            <w:tcMar>
              <w:top w:w="70" w:type="dxa"/>
              <w:bottom w:w="70" w:type="dxa"/>
              <w:left w:w="90" w:type="dxa"/>
              <w:right w:w="90" w:type="dxa"/>
            </w:tcMar>
          </w:tcPr>
          <w:p>
            <w:pPr>
              <w:spacing w:before="20" w:after="20" w:line="276" w:lineRule="auto"/>
              <w:jc w:val="center"/>
            </w:pPr>
            <w:r>
              <w:rPr>
                <w:rFonts w:ascii="Times New Roman" w:hAnsi="Times New Roman" w:eastAsia="宋体"/>
                <w:b w:val="0"/>
                <w:color w:val="000000"/>
                <w:sz w:val="18"/>
              </w:rPr>
              <w:t>创建日期</w:t>
            </w:r>
          </w:p>
        </w:tc>
        <w:tc>
          <w:tcPr>
            <w:tcW w:type="dxa" w:w="4513"/>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2026年9月9日</w:t>
            </w:r>
          </w:p>
        </w:tc>
      </w:tr>
      <w:tr>
        <w:trPr>
          <w:cantSplit/>
        </w:trPr>
        <w:tc>
          <w:tcPr>
            <w:tcW w:type="dxa" w:w="4513"/>
            <w:vAlign w:val="center"/>
            <w:tcMar>
              <w:top w:w="70" w:type="dxa"/>
              <w:bottom w:w="70" w:type="dxa"/>
              <w:left w:w="90" w:type="dxa"/>
              <w:right w:w="90" w:type="dxa"/>
            </w:tcMar>
            <w:shd w:fill="F7F7F7"/>
          </w:tcPr>
          <w:p>
            <w:pPr>
              <w:spacing w:before="20" w:after="20" w:line="276" w:lineRule="auto"/>
              <w:jc w:val="center"/>
            </w:pPr>
            <w:r>
              <w:rPr>
                <w:rFonts w:ascii="Times New Roman" w:hAnsi="Times New Roman" w:eastAsia="宋体"/>
                <w:b w:val="0"/>
                <w:color w:val="000000"/>
                <w:sz w:val="18"/>
              </w:rPr>
              <w:t>上次更新日期</w:t>
            </w:r>
          </w:p>
        </w:tc>
        <w:tc>
          <w:tcPr>
            <w:tcW w:type="dxa" w:w="4513"/>
            <w:vAlign w:val="center"/>
            <w:tcMar>
              <w:top w:w="70" w:type="dxa"/>
              <w:bottom w:w="70" w:type="dxa"/>
              <w:left w:w="90" w:type="dxa"/>
              <w:right w:w="90" w:type="dxa"/>
            </w:tcMar>
            <w:shd w:fill="F7F7F7"/>
          </w:tcPr>
          <w:p>
            <w:pPr>
              <w:spacing w:before="20" w:after="20" w:line="276" w:lineRule="auto"/>
            </w:pPr>
            <w:r>
              <w:rPr>
                <w:rFonts w:ascii="Times New Roman" w:hAnsi="Times New Roman" w:eastAsia="宋体"/>
                <w:b w:val="0"/>
                <w:color w:val="000000"/>
                <w:sz w:val="18"/>
              </w:rPr>
              <w:t>2026年9月9日</w:t>
            </w:r>
          </w:p>
        </w:tc>
      </w:tr>
      <w:tr>
        <w:trPr>
          <w:cantSplit/>
        </w:trPr>
        <w:tc>
          <w:tcPr>
            <w:tcW w:type="dxa" w:w="4513"/>
            <w:vAlign w:val="center"/>
            <w:tcMar>
              <w:top w:w="70" w:type="dxa"/>
              <w:bottom w:w="70" w:type="dxa"/>
              <w:left w:w="90" w:type="dxa"/>
              <w:right w:w="90" w:type="dxa"/>
            </w:tcMar>
          </w:tcPr>
          <w:p>
            <w:pPr>
              <w:spacing w:before="20" w:after="20" w:line="276" w:lineRule="auto"/>
              <w:jc w:val="center"/>
            </w:pPr>
            <w:r>
              <w:rPr>
                <w:rFonts w:ascii="Times New Roman" w:hAnsi="Times New Roman" w:eastAsia="宋体"/>
                <w:b w:val="0"/>
                <w:color w:val="000000"/>
                <w:sz w:val="18"/>
              </w:rPr>
              <w:t>版本</w:t>
            </w:r>
          </w:p>
        </w:tc>
        <w:tc>
          <w:tcPr>
            <w:tcW w:type="dxa" w:w="4513"/>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V1.1</w:t>
            </w:r>
          </w:p>
        </w:tc>
      </w:tr>
      <w:tr>
        <w:trPr>
          <w:cantSplit/>
        </w:trPr>
        <w:tc>
          <w:tcPr>
            <w:tcW w:type="dxa" w:w="4513"/>
            <w:vAlign w:val="center"/>
            <w:tcMar>
              <w:top w:w="70" w:type="dxa"/>
              <w:bottom w:w="70" w:type="dxa"/>
              <w:left w:w="90" w:type="dxa"/>
              <w:right w:w="90" w:type="dxa"/>
            </w:tcMar>
            <w:shd w:fill="F7F7F7"/>
          </w:tcPr>
          <w:p>
            <w:pPr>
              <w:spacing w:before="20" w:after="20" w:line="276" w:lineRule="auto"/>
              <w:jc w:val="center"/>
            </w:pPr>
            <w:r>
              <w:rPr>
                <w:rFonts w:ascii="Times New Roman" w:hAnsi="Times New Roman" w:eastAsia="宋体"/>
                <w:b w:val="0"/>
                <w:color w:val="000000"/>
                <w:sz w:val="18"/>
              </w:rPr>
              <w:t>部门名称</w:t>
            </w:r>
          </w:p>
        </w:tc>
        <w:tc>
          <w:tcPr>
            <w:tcW w:type="dxa" w:w="4513"/>
            <w:vAlign w:val="center"/>
            <w:tcMar>
              <w:top w:w="70" w:type="dxa"/>
              <w:bottom w:w="70" w:type="dxa"/>
              <w:left w:w="90" w:type="dxa"/>
              <w:right w:w="90" w:type="dxa"/>
            </w:tcMar>
            <w:shd w:fill="F7F7F7"/>
          </w:tcPr>
          <w:p>
            <w:pPr>
              <w:spacing w:before="20" w:after="20" w:line="276" w:lineRule="auto"/>
            </w:pPr>
            <w:r>
              <w:rPr>
                <w:rFonts w:ascii="Times New Roman" w:hAnsi="Times New Roman" w:eastAsia="宋体"/>
                <w:b w:val="0"/>
                <w:color w:val="000000"/>
                <w:sz w:val="18"/>
              </w:rPr>
              <w:t>软件工程实训项目组</w:t>
            </w:r>
          </w:p>
        </w:tc>
      </w:tr>
      <w:tr>
        <w:trPr>
          <w:cantSplit/>
        </w:trPr>
        <w:tc>
          <w:tcPr>
            <w:tcW w:type="dxa" w:w="4513"/>
            <w:vAlign w:val="center"/>
            <w:tcMar>
              <w:top w:w="70" w:type="dxa"/>
              <w:bottom w:w="70" w:type="dxa"/>
              <w:left w:w="90" w:type="dxa"/>
              <w:right w:w="90" w:type="dxa"/>
            </w:tcMar>
          </w:tcPr>
          <w:p>
            <w:pPr>
              <w:spacing w:before="20" w:after="20" w:line="276" w:lineRule="auto"/>
              <w:jc w:val="center"/>
            </w:pPr>
            <w:r>
              <w:rPr>
                <w:rFonts w:ascii="Times New Roman" w:hAnsi="Times New Roman" w:eastAsia="宋体"/>
                <w:b w:val="0"/>
                <w:color w:val="000000"/>
                <w:sz w:val="18"/>
              </w:rPr>
              <w:t>适用范围</w:t>
            </w:r>
          </w:p>
        </w:tc>
        <w:tc>
          <w:tcPr>
            <w:tcW w:type="dxa" w:w="4513"/>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系统功能需求、业务约束、权限矩阵与非功能验收指标说明</w:t>
            </w:r>
          </w:p>
        </w:tc>
      </w:tr>
    </w:tbl>
    <w:p>
      <w:pPr>
        <w:spacing w:after="0" w:line="324" w:lineRule="auto"/>
        <w:snapToGrid w:val="0"/>
      </w:pPr>
      <w:r>
        <w:rPr>
          <w:rFonts w:ascii="Times New Roman" w:hAnsi="Times New Roman" w:eastAsia="宋体"/>
          <w:color w:val="000000"/>
          <w:sz w:val="4"/>
        </w:rPr>
      </w:r>
    </w:p>
    <w:p>
      <w:pPr>
        <w:pStyle w:val="Heading1"/>
        <w:spacing w:after="120" w:line="324" w:lineRule="auto" w:before="360"/>
        <w:jc w:val="center"/>
        <w:snapToGrid w:val="0"/>
      </w:pPr>
      <w:r>
        <w:rPr>
          <w:rFonts w:ascii="Times New Roman" w:hAnsi="Times New Roman" w:eastAsia="黑体"/>
          <w:b/>
          <w:color w:val="000000"/>
          <w:sz w:val="32"/>
        </w:rPr>
        <w:t>修订文档历史记录</w:t>
      </w:r>
    </w:p>
    <w:tbl>
      <w:tblPr>
        <w:tblW w:type="auto" w:w="0"/>
        <w:jc w:val="center"/>
        <w:tblLayout w:type="autofit"/>
        <w:tblLook w:firstColumn="1" w:firstRow="1" w:lastColumn="0" w:lastRow="0" w:noHBand="0" w:noVBand="1" w:val="04A0"/>
        <w:tblBorders>
          <w:top w:val="single" w:sz="6" w:color="B7B7B7"/>
          <w:left w:val="single" w:sz="6" w:color="B7B7B7"/>
          <w:bottom w:val="single" w:sz="6" w:color="B7B7B7"/>
          <w:right w:val="single" w:sz="6" w:color="B7B7B7"/>
          <w:insideH w:val="single" w:sz="6" w:color="B7B7B7"/>
          <w:insideV w:val="single" w:sz="6" w:color="B7B7B7"/>
        </w:tblBorders>
      </w:tblPr>
      <w:tblGrid>
        <w:gridCol w:w="2256"/>
        <w:gridCol w:w="2256"/>
        <w:gridCol w:w="2256"/>
        <w:gridCol w:w="2256"/>
      </w:tblGrid>
      <w:tr>
        <w:trPr>
          <w:cantSplit/>
          <w:tblHeader/>
        </w:trPr>
        <w:tc>
          <w:tcPr>
            <w:tcW w:type="dxa" w:w="2256"/>
            <w:vAlign w:val="center"/>
            <w:tcMar>
              <w:top w:w="70" w:type="dxa"/>
              <w:bottom w:w="70" w:type="dxa"/>
              <w:left w:w="90" w:type="dxa"/>
              <w:right w:w="90" w:type="dxa"/>
            </w:tcMar>
            <w:shd w:fill="D9D9D9"/>
          </w:tcPr>
          <w:p>
            <w:pPr>
              <w:spacing w:before="20" w:after="20" w:line="276" w:lineRule="auto"/>
            </w:pPr>
            <w:r>
              <w:rPr>
                <w:rFonts w:ascii="Times New Roman" w:hAnsi="Times New Roman" w:eastAsia="黑体"/>
                <w:b/>
                <w:color w:val="000000"/>
                <w:sz w:val="18"/>
              </w:rPr>
              <w:t>日期</w:t>
            </w:r>
          </w:p>
        </w:tc>
        <w:tc>
          <w:tcPr>
            <w:tcW w:type="dxa" w:w="2256"/>
            <w:vAlign w:val="center"/>
            <w:tcMar>
              <w:top w:w="70" w:type="dxa"/>
              <w:bottom w:w="70" w:type="dxa"/>
              <w:left w:w="90" w:type="dxa"/>
              <w:right w:w="90" w:type="dxa"/>
            </w:tcMar>
            <w:shd w:fill="D9D9D9"/>
          </w:tcPr>
          <w:p>
            <w:pPr>
              <w:spacing w:before="20" w:after="20" w:line="276" w:lineRule="auto"/>
            </w:pPr>
            <w:r>
              <w:rPr>
                <w:rFonts w:ascii="Times New Roman" w:hAnsi="Times New Roman" w:eastAsia="黑体"/>
                <w:b/>
                <w:color w:val="000000"/>
                <w:sz w:val="18"/>
              </w:rPr>
              <w:t>版本</w:t>
            </w:r>
          </w:p>
        </w:tc>
        <w:tc>
          <w:tcPr>
            <w:tcW w:type="dxa" w:w="2256"/>
            <w:vAlign w:val="center"/>
            <w:tcMar>
              <w:top w:w="70" w:type="dxa"/>
              <w:bottom w:w="70" w:type="dxa"/>
              <w:left w:w="90" w:type="dxa"/>
              <w:right w:w="90" w:type="dxa"/>
            </w:tcMar>
            <w:shd w:fill="D9D9D9"/>
          </w:tcPr>
          <w:p>
            <w:pPr>
              <w:spacing w:before="20" w:after="20" w:line="276" w:lineRule="auto"/>
            </w:pPr>
            <w:r>
              <w:rPr>
                <w:rFonts w:ascii="Times New Roman" w:hAnsi="Times New Roman" w:eastAsia="黑体"/>
                <w:b/>
                <w:color w:val="000000"/>
                <w:sz w:val="18"/>
              </w:rPr>
              <w:t>说明</w:t>
            </w:r>
          </w:p>
        </w:tc>
        <w:tc>
          <w:tcPr>
            <w:tcW w:type="dxa" w:w="2256"/>
            <w:vAlign w:val="center"/>
            <w:tcMar>
              <w:top w:w="70" w:type="dxa"/>
              <w:bottom w:w="70" w:type="dxa"/>
              <w:left w:w="90" w:type="dxa"/>
              <w:right w:w="90" w:type="dxa"/>
            </w:tcMar>
            <w:shd w:fill="D9D9D9"/>
          </w:tcPr>
          <w:p>
            <w:pPr>
              <w:spacing w:before="20" w:after="20" w:line="276" w:lineRule="auto"/>
            </w:pPr>
            <w:r>
              <w:rPr>
                <w:rFonts w:ascii="Times New Roman" w:hAnsi="Times New Roman" w:eastAsia="黑体"/>
                <w:b/>
                <w:color w:val="000000"/>
                <w:sz w:val="18"/>
              </w:rPr>
              <w:t>作者</w:t>
            </w:r>
          </w:p>
        </w:tc>
      </w:tr>
      <w:tr>
        <w:trPr>
          <w:cantSplit/>
        </w:trPr>
        <w:tc>
          <w:tcPr>
            <w:tcW w:type="dxa" w:w="2256"/>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2026年9月9日</w:t>
            </w:r>
          </w:p>
        </w:tc>
        <w:tc>
          <w:tcPr>
            <w:tcW w:type="dxa" w:w="2256"/>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V1.1</w:t>
            </w:r>
          </w:p>
        </w:tc>
        <w:tc>
          <w:tcPr>
            <w:tcW w:type="dxa" w:w="2256"/>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按照三创谷实训项目交付规范编制，经全员交叉评审并与实际系统代码验证基线同步</w:t>
            </w:r>
          </w:p>
        </w:tc>
        <w:tc>
          <w:tcPr>
            <w:tcW w:type="dxa" w:w="2256"/>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软件工程实训项目组</w:t>
            </w:r>
          </w:p>
        </w:tc>
      </w:tr>
    </w:tbl>
    <w:p>
      <w:pPr>
        <w:spacing w:after="0" w:line="324" w:lineRule="auto"/>
        <w:snapToGrid w:val="0"/>
      </w:pPr>
      <w:r>
        <w:rPr>
          <w:rFonts w:ascii="Times New Roman" w:hAnsi="Times New Roman" w:eastAsia="宋体"/>
          <w:color w:val="000000"/>
          <w:sz w:val="4"/>
        </w:rPr>
      </w:r>
    </w:p>
    <w:p>
      <w:r>
        <w:br w:type="page"/>
      </w:r>
    </w:p>
    <w:p>
      <w:pPr>
        <w:pStyle w:val="Heading1"/>
        <w:spacing w:after="280" w:line="324" w:lineRule="auto"/>
        <w:jc w:val="center"/>
        <w:snapToGrid w:val="0"/>
      </w:pPr>
      <w:r>
        <w:rPr>
          <w:rFonts w:ascii="Times New Roman" w:hAnsi="Times New Roman" w:eastAsia="黑体"/>
          <w:b/>
          <w:color w:val="000000"/>
          <w:sz w:val="32"/>
        </w:rPr>
        <w:t>目  录</w:t>
      </w:r>
    </w:p>
    <w:p>
      <w:pPr>
        <w:spacing w:after="80" w:line="324" w:lineRule="auto"/>
        <w:snapToGrid w:val="0"/>
        <w:ind w:left="0"/>
      </w:pPr>
      <w:r>
        <w:rPr>
          <w:rFonts w:ascii="Times New Roman" w:hAnsi="Times New Roman" w:eastAsia="宋体"/>
          <w:color w:val="000000"/>
          <w:sz w:val="21"/>
        </w:rPr>
        <w:t>1 引言与建设背景</w:t>
      </w:r>
    </w:p>
    <w:p>
      <w:pPr>
        <w:spacing w:after="80" w:line="324" w:lineRule="auto"/>
        <w:snapToGrid w:val="0"/>
        <w:ind w:left="0"/>
      </w:pPr>
      <w:r>
        <w:rPr>
          <w:rFonts w:ascii="Times New Roman" w:hAnsi="Times New Roman" w:eastAsia="宋体"/>
          <w:color w:val="000000"/>
          <w:sz w:val="21"/>
        </w:rPr>
        <w:t>2 系统用户角色与权限规范</w:t>
      </w:r>
    </w:p>
    <w:p>
      <w:pPr>
        <w:spacing w:after="80" w:line="324" w:lineRule="auto"/>
        <w:snapToGrid w:val="0"/>
        <w:ind w:left="0"/>
      </w:pPr>
      <w:r>
        <w:rPr>
          <w:rFonts w:ascii="Times New Roman" w:hAnsi="Times New Roman" w:eastAsia="宋体"/>
          <w:color w:val="000000"/>
          <w:sz w:val="21"/>
        </w:rPr>
        <w:t>3 工程技术基线与运行环境约束</w:t>
      </w:r>
    </w:p>
    <w:p>
      <w:pPr>
        <w:spacing w:after="80" w:line="324" w:lineRule="auto"/>
        <w:snapToGrid w:val="0"/>
        <w:ind w:left="0"/>
      </w:pPr>
      <w:r>
        <w:rPr>
          <w:rFonts w:ascii="Times New Roman" w:hAnsi="Times New Roman" w:eastAsia="宋体"/>
          <w:color w:val="000000"/>
          <w:sz w:val="21"/>
        </w:rPr>
        <w:t>4 系统核心功能需求规格说明</w:t>
      </w:r>
    </w:p>
    <w:p>
      <w:pPr>
        <w:spacing w:after="80" w:line="324" w:lineRule="auto"/>
        <w:snapToGrid w:val="0"/>
        <w:ind w:left="0"/>
      </w:pPr>
      <w:r>
        <w:rPr>
          <w:rFonts w:ascii="Times New Roman" w:hAnsi="Times New Roman" w:eastAsia="宋体"/>
          <w:color w:val="000000"/>
          <w:sz w:val="21"/>
        </w:rPr>
        <w:t>5 核心业务数据流与配套管理机制</w:t>
      </w:r>
    </w:p>
    <w:p>
      <w:pPr>
        <w:spacing w:after="80" w:line="324" w:lineRule="auto"/>
        <w:snapToGrid w:val="0"/>
        <w:ind w:left="0"/>
      </w:pPr>
      <w:r>
        <w:rPr>
          <w:rFonts w:ascii="Times New Roman" w:hAnsi="Times New Roman" w:eastAsia="宋体"/>
          <w:color w:val="000000"/>
          <w:sz w:val="21"/>
        </w:rPr>
        <w:t>6 业务数据处理与统计核算口径</w:t>
      </w:r>
    </w:p>
    <w:p>
      <w:pPr>
        <w:spacing w:after="80" w:line="324" w:lineRule="auto"/>
        <w:snapToGrid w:val="0"/>
        <w:ind w:left="0"/>
      </w:pPr>
      <w:r>
        <w:rPr>
          <w:rFonts w:ascii="Times New Roman" w:hAnsi="Times New Roman" w:eastAsia="宋体"/>
          <w:color w:val="000000"/>
          <w:sz w:val="21"/>
        </w:rPr>
        <w:t>7 智能设备与空间地理规则</w:t>
      </w:r>
    </w:p>
    <w:p>
      <w:pPr>
        <w:spacing w:after="80" w:line="324" w:lineRule="auto"/>
        <w:snapToGrid w:val="0"/>
        <w:ind w:left="0"/>
      </w:pPr>
      <w:r>
        <w:rPr>
          <w:rFonts w:ascii="Times New Roman" w:hAnsi="Times New Roman" w:eastAsia="宋体"/>
          <w:color w:val="000000"/>
          <w:sz w:val="21"/>
        </w:rPr>
        <w:t>8 非功能性需求（NFR）与质量属性</w:t>
      </w:r>
    </w:p>
    <w:p>
      <w:pPr>
        <w:spacing w:after="80" w:line="324" w:lineRule="auto"/>
        <w:snapToGrid w:val="0"/>
        <w:ind w:left="0"/>
      </w:pPr>
      <w:r>
        <w:rPr>
          <w:rFonts w:ascii="Times New Roman" w:hAnsi="Times New Roman" w:eastAsia="宋体"/>
          <w:color w:val="000000"/>
          <w:sz w:val="21"/>
        </w:rPr>
        <w:t>9 需求追踪与实现映射</w:t>
      </w:r>
    </w:p>
    <w:p>
      <w:pPr>
        <w:pStyle w:val="Heading1"/>
        <w:spacing w:after="140" w:line="324" w:lineRule="auto" w:before="160"/>
        <w:keepNext/>
        <w:pageBreakBefore/>
        <w:snapToGrid w:val="0"/>
      </w:pPr>
      <w:r>
        <w:rPr>
          <w:rFonts w:ascii="Times New Roman" w:hAnsi="Times New Roman" w:eastAsia="黑体"/>
          <w:b/>
          <w:color w:val="000000"/>
          <w:sz w:val="32"/>
        </w:rPr>
        <w:t>1 引言与建设背景</w:t>
      </w:r>
    </w:p>
    <w:p>
      <w:pPr>
        <w:spacing w:after="120" w:line="324" w:lineRule="auto"/>
        <w:snapToGrid w:val="0"/>
      </w:pPr>
      <w:r>
        <w:rPr>
          <w:rFonts w:ascii="Times New Roman" w:hAnsi="Times New Roman" w:eastAsia="宋体"/>
          <w:color w:val="000000"/>
          <w:sz w:val="21"/>
        </w:rPr>
        <w:t>随着我国人口老龄化进程加速，传统医养结合机构面临着老人健康档案碎片化、慢性病随访监督困难、走失风险高以及智能穿戴设备缺乏统一监管等痛点。本项目旨在研发一套集老人健康档案管理、体检指标监控、家庭医生随访、智能腕表安全围栏与历史轨迹回放于一体的企业级智慧医养大数据决策分析系统。通过现代数字化手段打通各业务模块数据孤岛，为养老机构一线护理人员与运营管理者提供实时、严密、可靠的业务管理与决策分析支持。</w:t>
      </w:r>
    </w:p>
    <w:p>
      <w:pPr>
        <w:spacing w:after="120" w:line="324" w:lineRule="auto"/>
        <w:snapToGrid w:val="0"/>
      </w:pPr>
      <w:r>
        <w:rPr>
          <w:rFonts w:ascii="Times New Roman" w:hAnsi="Times New Roman" w:eastAsia="宋体"/>
          <w:color w:val="000000"/>
          <w:sz w:val="21"/>
        </w:rPr>
        <w:t>本系统严格按照企业级软件工程规范设计，当前版本主要用于高校实训与医养机构业务模拟教学。系统提供标准通用 HTTP GPS 接入规范，健康判定指标属于辅助管理参考参数，不承担医疗级临床诊断功能。</w:t>
      </w:r>
    </w:p>
    <w:p>
      <w:pPr>
        <w:pStyle w:val="Heading1"/>
        <w:spacing w:after="140" w:line="324" w:lineRule="auto" w:before="160"/>
        <w:keepNext/>
        <w:snapToGrid w:val="0"/>
      </w:pPr>
      <w:r>
        <w:rPr>
          <w:rFonts w:ascii="Times New Roman" w:hAnsi="Times New Roman" w:eastAsia="黑体"/>
          <w:b/>
          <w:color w:val="000000"/>
          <w:sz w:val="32"/>
        </w:rPr>
        <w:t>2 系统用户角色与权限规范</w:t>
      </w:r>
    </w:p>
    <w:p>
      <w:pPr>
        <w:spacing w:after="120" w:line="324" w:lineRule="auto"/>
        <w:snapToGrid w:val="0"/>
      </w:pPr>
      <w:r>
        <w:rPr>
          <w:rFonts w:ascii="Times New Roman" w:hAnsi="Times New Roman" w:eastAsia="宋体"/>
          <w:color w:val="000000"/>
          <w:sz w:val="21"/>
        </w:rPr>
        <w:t>系统遵循最小特权原则与基于角色的访问控制（RBAC）模型，明确划分三类系统用户及一类外部设备接入调用方：</w:t>
      </w:r>
    </w:p>
    <w:tbl>
      <w:tblPr>
        <w:tblW w:type="auto" w:w="0"/>
        <w:jc w:val="center"/>
        <w:tblLayout w:type="autofit"/>
        <w:tblLook w:firstColumn="1" w:firstRow="1" w:lastColumn="0" w:lastRow="0" w:noHBand="0" w:noVBand="1" w:val="04A0"/>
        <w:tblBorders>
          <w:top w:val="single" w:sz="6" w:color="B7B7B7"/>
          <w:left w:val="single" w:sz="6" w:color="B7B7B7"/>
          <w:bottom w:val="single" w:sz="6" w:color="B7B7B7"/>
          <w:right w:val="single" w:sz="6" w:color="B7B7B7"/>
          <w:insideH w:val="single" w:sz="6" w:color="B7B7B7"/>
          <w:insideV w:val="single" w:sz="6" w:color="B7B7B7"/>
        </w:tblBorders>
      </w:tblPr>
      <w:tblGrid>
        <w:gridCol w:w="4513"/>
        <w:gridCol w:w="4513"/>
      </w:tblGrid>
      <w:tr>
        <w:trPr>
          <w:cantSplit/>
          <w:tblHeader/>
        </w:trPr>
        <w:tc>
          <w:tcPr>
            <w:tcW w:type="dxa" w:w="4513"/>
            <w:vAlign w:val="center"/>
            <w:tcMar>
              <w:top w:w="70" w:type="dxa"/>
              <w:bottom w:w="70" w:type="dxa"/>
              <w:left w:w="90" w:type="dxa"/>
              <w:right w:w="90" w:type="dxa"/>
            </w:tcMar>
            <w:shd w:fill="D9D9D9"/>
          </w:tcPr>
          <w:p>
            <w:pPr>
              <w:spacing w:before="20" w:after="20" w:line="276" w:lineRule="auto"/>
              <w:jc w:val="center"/>
            </w:pPr>
            <w:r>
              <w:rPr>
                <w:rFonts w:ascii="Times New Roman" w:hAnsi="Times New Roman" w:eastAsia="黑体"/>
                <w:b/>
                <w:color w:val="000000"/>
                <w:sz w:val="18"/>
              </w:rPr>
              <w:t>系统角色</w:t>
            </w:r>
          </w:p>
        </w:tc>
        <w:tc>
          <w:tcPr>
            <w:tcW w:type="dxa" w:w="4513"/>
            <w:vAlign w:val="center"/>
            <w:tcMar>
              <w:top w:w="70" w:type="dxa"/>
              <w:bottom w:w="70" w:type="dxa"/>
              <w:left w:w="90" w:type="dxa"/>
              <w:right w:w="90" w:type="dxa"/>
            </w:tcMar>
            <w:shd w:fill="D9D9D9"/>
          </w:tcPr>
          <w:p>
            <w:pPr>
              <w:spacing w:before="20" w:after="20" w:line="276" w:lineRule="auto"/>
            </w:pPr>
            <w:r>
              <w:rPr>
                <w:rFonts w:ascii="Times New Roman" w:hAnsi="Times New Roman" w:eastAsia="黑体"/>
                <w:b/>
                <w:color w:val="000000"/>
                <w:sz w:val="18"/>
              </w:rPr>
              <w:t>权限边界与允许操作</w:t>
            </w:r>
          </w:p>
        </w:tc>
      </w:tr>
      <w:tr>
        <w:trPr>
          <w:cantSplit/>
        </w:trPr>
        <w:tc>
          <w:tcPr>
            <w:tcW w:type="dxa" w:w="4513"/>
            <w:vAlign w:val="center"/>
            <w:tcMar>
              <w:top w:w="70" w:type="dxa"/>
              <w:bottom w:w="70" w:type="dxa"/>
              <w:left w:w="90" w:type="dxa"/>
              <w:right w:w="90" w:type="dxa"/>
            </w:tcMar>
          </w:tcPr>
          <w:p>
            <w:pPr>
              <w:spacing w:before="20" w:after="20" w:line="276" w:lineRule="auto"/>
              <w:jc w:val="center"/>
            </w:pPr>
            <w:r>
              <w:rPr>
                <w:rFonts w:ascii="Times New Roman" w:hAnsi="Times New Roman" w:eastAsia="宋体"/>
                <w:b w:val="0"/>
                <w:color w:val="000000"/>
                <w:sz w:val="18"/>
              </w:rPr>
              <w:t>系统管理员 ADMIN</w:t>
            </w:r>
          </w:p>
        </w:tc>
        <w:tc>
          <w:tcPr>
            <w:tcW w:type="dxa" w:w="4513"/>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拥有系统最高管理权限。负责全局账号管理、机构地区配置、数据模拟生成、设备接入密钥签发、误录档案受限删除及全系统审计日志查看。</w:t>
            </w:r>
          </w:p>
        </w:tc>
      </w:tr>
      <w:tr>
        <w:trPr>
          <w:cantSplit/>
        </w:trPr>
        <w:tc>
          <w:tcPr>
            <w:tcW w:type="dxa" w:w="4513"/>
            <w:vAlign w:val="center"/>
            <w:tcMar>
              <w:top w:w="70" w:type="dxa"/>
              <w:bottom w:w="70" w:type="dxa"/>
              <w:left w:w="90" w:type="dxa"/>
              <w:right w:w="90" w:type="dxa"/>
            </w:tcMar>
            <w:shd w:fill="F7F7F7"/>
          </w:tcPr>
          <w:p>
            <w:pPr>
              <w:spacing w:before="20" w:after="20" w:line="276" w:lineRule="auto"/>
              <w:jc w:val="center"/>
            </w:pPr>
            <w:r>
              <w:rPr>
                <w:rFonts w:ascii="Times New Roman" w:hAnsi="Times New Roman" w:eastAsia="宋体"/>
                <w:b w:val="0"/>
                <w:color w:val="000000"/>
                <w:sz w:val="18"/>
              </w:rPr>
              <w:t>业务操作员 OPERATOR</w:t>
            </w:r>
          </w:p>
        </w:tc>
        <w:tc>
          <w:tcPr>
            <w:tcW w:type="dxa" w:w="4513"/>
            <w:vAlign w:val="center"/>
            <w:tcMar>
              <w:top w:w="70" w:type="dxa"/>
              <w:bottom w:w="70" w:type="dxa"/>
              <w:left w:w="90" w:type="dxa"/>
              <w:right w:w="90" w:type="dxa"/>
            </w:tcMar>
            <w:shd w:fill="F7F7F7"/>
          </w:tcPr>
          <w:p>
            <w:pPr>
              <w:spacing w:before="20" w:after="20" w:line="276" w:lineRule="auto"/>
            </w:pPr>
            <w:r>
              <w:rPr>
                <w:rFonts w:ascii="Times New Roman" w:hAnsi="Times New Roman" w:eastAsia="宋体"/>
                <w:b w:val="0"/>
                <w:color w:val="000000"/>
                <w:sz w:val="18"/>
              </w:rPr>
              <w:t>负责医养一线日常业务维护。涵盖老人建档与变更、医生签约管理、健康记录录入、随访履约维护、智能设备配对绑定、电子围栏设置与越界事件接警处置。</w:t>
            </w:r>
          </w:p>
        </w:tc>
      </w:tr>
      <w:tr>
        <w:trPr>
          <w:cantSplit/>
        </w:trPr>
        <w:tc>
          <w:tcPr>
            <w:tcW w:type="dxa" w:w="4513"/>
            <w:vAlign w:val="center"/>
            <w:tcMar>
              <w:top w:w="70" w:type="dxa"/>
              <w:bottom w:w="70" w:type="dxa"/>
              <w:left w:w="90" w:type="dxa"/>
              <w:right w:w="90" w:type="dxa"/>
            </w:tcMar>
          </w:tcPr>
          <w:p>
            <w:pPr>
              <w:spacing w:before="20" w:after="20" w:line="276" w:lineRule="auto"/>
              <w:jc w:val="center"/>
            </w:pPr>
            <w:r>
              <w:rPr>
                <w:rFonts w:ascii="Times New Roman" w:hAnsi="Times New Roman" w:eastAsia="宋体"/>
                <w:b w:val="0"/>
                <w:color w:val="000000"/>
                <w:sz w:val="18"/>
              </w:rPr>
              <w:t>决策分析员 ANALYST</w:t>
            </w:r>
          </w:p>
        </w:tc>
        <w:tc>
          <w:tcPr>
            <w:tcW w:type="dxa" w:w="4513"/>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面向中高层管理与业务监管人员。拥有全系统的只读洞察权限，可下钻查看首页运行大盘、老人人口构成、健康检测多维统计、随访履约趋势、设备实时分布与历史轨迹，坚决屏蔽数据修改与删除操作。</w:t>
            </w:r>
          </w:p>
        </w:tc>
      </w:tr>
    </w:tbl>
    <w:p>
      <w:pPr>
        <w:spacing w:after="0" w:line="324" w:lineRule="auto"/>
        <w:snapToGrid w:val="0"/>
      </w:pPr>
      <w:r>
        <w:rPr>
          <w:rFonts w:ascii="Times New Roman" w:hAnsi="Times New Roman" w:eastAsia="宋体"/>
          <w:color w:val="000000"/>
          <w:sz w:val="4"/>
        </w:rPr>
      </w:r>
    </w:p>
    <w:p>
      <w:pPr>
        <w:pStyle w:val="Heading1"/>
        <w:spacing w:after="140" w:line="324" w:lineRule="auto" w:before="160"/>
        <w:keepNext/>
        <w:snapToGrid w:val="0"/>
      </w:pPr>
      <w:r>
        <w:rPr>
          <w:rFonts w:ascii="Times New Roman" w:hAnsi="Times New Roman" w:eastAsia="黑体"/>
          <w:b/>
          <w:color w:val="000000"/>
          <w:sz w:val="32"/>
        </w:rPr>
        <w:t>3 工程技术基线与运行环境约束</w:t>
      </w:r>
    </w:p>
    <w:p>
      <w:pPr>
        <w:spacing w:after="120" w:line="324" w:lineRule="auto"/>
        <w:snapToGrid w:val="0"/>
      </w:pPr>
      <w:r>
        <w:rPr>
          <w:rFonts w:ascii="Times New Roman" w:hAnsi="Times New Roman" w:eastAsia="宋体"/>
          <w:color w:val="000000"/>
          <w:sz w:val="21"/>
        </w:rPr>
        <w:t>为确保项目工程化质量与团队协作一致性，项目全面采用主流工业级开源技术栈，严守开发标准：</w:t>
      </w:r>
    </w:p>
    <w:tbl>
      <w:tblPr>
        <w:tblW w:type="auto" w:w="0"/>
        <w:jc w:val="center"/>
        <w:tblLayout w:type="autofit"/>
        <w:tblLook w:firstColumn="1" w:firstRow="1" w:lastColumn="0" w:lastRow="0" w:noHBand="0" w:noVBand="1" w:val="04A0"/>
        <w:tblBorders>
          <w:top w:val="single" w:sz="6" w:color="B7B7B7"/>
          <w:left w:val="single" w:sz="6" w:color="B7B7B7"/>
          <w:bottom w:val="single" w:sz="6" w:color="B7B7B7"/>
          <w:right w:val="single" w:sz="6" w:color="B7B7B7"/>
          <w:insideH w:val="single" w:sz="6" w:color="B7B7B7"/>
          <w:insideV w:val="single" w:sz="6" w:color="B7B7B7"/>
        </w:tblBorders>
      </w:tblPr>
      <w:tblGrid>
        <w:gridCol w:w="4513"/>
        <w:gridCol w:w="4513"/>
      </w:tblGrid>
      <w:tr>
        <w:trPr>
          <w:cantSplit/>
          <w:tblHeader/>
        </w:trPr>
        <w:tc>
          <w:tcPr>
            <w:tcW w:type="dxa" w:w="4513"/>
            <w:vAlign w:val="center"/>
            <w:tcMar>
              <w:top w:w="70" w:type="dxa"/>
              <w:bottom w:w="70" w:type="dxa"/>
              <w:left w:w="90" w:type="dxa"/>
              <w:right w:w="90" w:type="dxa"/>
            </w:tcMar>
            <w:shd w:fill="D9D9D9"/>
          </w:tcPr>
          <w:p>
            <w:pPr>
              <w:spacing w:before="20" w:after="20" w:line="276" w:lineRule="auto"/>
              <w:jc w:val="center"/>
            </w:pPr>
            <w:r>
              <w:rPr>
                <w:rFonts w:ascii="Times New Roman" w:hAnsi="Times New Roman" w:eastAsia="黑体"/>
                <w:b/>
                <w:color w:val="000000"/>
                <w:sz w:val="18"/>
              </w:rPr>
              <w:t>技术维度</w:t>
            </w:r>
          </w:p>
        </w:tc>
        <w:tc>
          <w:tcPr>
            <w:tcW w:type="dxa" w:w="4513"/>
            <w:vAlign w:val="center"/>
            <w:tcMar>
              <w:top w:w="70" w:type="dxa"/>
              <w:bottom w:w="70" w:type="dxa"/>
              <w:left w:w="90" w:type="dxa"/>
              <w:right w:w="90" w:type="dxa"/>
            </w:tcMar>
            <w:shd w:fill="D9D9D9"/>
          </w:tcPr>
          <w:p>
            <w:pPr>
              <w:spacing w:before="20" w:after="20" w:line="276" w:lineRule="auto"/>
            </w:pPr>
            <w:r>
              <w:rPr>
                <w:rFonts w:ascii="Times New Roman" w:hAnsi="Times New Roman" w:eastAsia="黑体"/>
                <w:b/>
                <w:color w:val="000000"/>
                <w:sz w:val="18"/>
              </w:rPr>
              <w:t>选型基线与工程规范</w:t>
            </w:r>
          </w:p>
        </w:tc>
      </w:tr>
      <w:tr>
        <w:trPr>
          <w:cantSplit/>
        </w:trPr>
        <w:tc>
          <w:tcPr>
            <w:tcW w:type="dxa" w:w="4513"/>
            <w:vAlign w:val="center"/>
            <w:tcMar>
              <w:top w:w="70" w:type="dxa"/>
              <w:bottom w:w="70" w:type="dxa"/>
              <w:left w:w="90" w:type="dxa"/>
              <w:right w:w="90" w:type="dxa"/>
            </w:tcMar>
          </w:tcPr>
          <w:p>
            <w:pPr>
              <w:spacing w:before="20" w:after="20" w:line="276" w:lineRule="auto"/>
              <w:jc w:val="center"/>
            </w:pPr>
            <w:r>
              <w:rPr>
                <w:rFonts w:ascii="Times New Roman" w:hAnsi="Times New Roman" w:eastAsia="宋体"/>
                <w:b w:val="0"/>
                <w:color w:val="000000"/>
                <w:sz w:val="18"/>
              </w:rPr>
              <w:t>开发语言与构建工具</w:t>
            </w:r>
          </w:p>
        </w:tc>
        <w:tc>
          <w:tcPr>
            <w:tcW w:type="dxa" w:w="4513"/>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Java 17（LTS 生产基线）；Maven 3.9（集成 Maven Wrapper 3.9.16）</w:t>
            </w:r>
          </w:p>
        </w:tc>
      </w:tr>
      <w:tr>
        <w:trPr>
          <w:cantSplit/>
        </w:trPr>
        <w:tc>
          <w:tcPr>
            <w:tcW w:type="dxa" w:w="4513"/>
            <w:vAlign w:val="center"/>
            <w:tcMar>
              <w:top w:w="70" w:type="dxa"/>
              <w:bottom w:w="70" w:type="dxa"/>
              <w:left w:w="90" w:type="dxa"/>
              <w:right w:w="90" w:type="dxa"/>
            </w:tcMar>
            <w:shd w:fill="F7F7F7"/>
          </w:tcPr>
          <w:p>
            <w:pPr>
              <w:spacing w:before="20" w:after="20" w:line="276" w:lineRule="auto"/>
              <w:jc w:val="center"/>
            </w:pPr>
            <w:r>
              <w:rPr>
                <w:rFonts w:ascii="Times New Roman" w:hAnsi="Times New Roman" w:eastAsia="宋体"/>
                <w:b w:val="0"/>
                <w:color w:val="000000"/>
                <w:sz w:val="18"/>
              </w:rPr>
              <w:t>后端核心框架</w:t>
            </w:r>
          </w:p>
        </w:tc>
        <w:tc>
          <w:tcPr>
            <w:tcW w:type="dxa" w:w="4513"/>
            <w:vAlign w:val="center"/>
            <w:tcMar>
              <w:top w:w="70" w:type="dxa"/>
              <w:bottom w:w="70" w:type="dxa"/>
              <w:left w:w="90" w:type="dxa"/>
              <w:right w:w="90" w:type="dxa"/>
            </w:tcMar>
            <w:shd w:fill="F7F7F7"/>
          </w:tcPr>
          <w:p>
            <w:pPr>
              <w:spacing w:before="20" w:after="20" w:line="276" w:lineRule="auto"/>
            </w:pPr>
            <w:r>
              <w:rPr>
                <w:rFonts w:ascii="Times New Roman" w:hAnsi="Times New Roman" w:eastAsia="宋体"/>
                <w:b w:val="0"/>
                <w:color w:val="000000"/>
                <w:sz w:val="18"/>
              </w:rPr>
              <w:t>Spring Boot 3.5.16；Spring MVC；Spring Security（基于 Session + CSRF 双重安全过滤链）；Spring 声明式事务</w:t>
            </w:r>
          </w:p>
        </w:tc>
      </w:tr>
      <w:tr>
        <w:trPr>
          <w:cantSplit/>
        </w:trPr>
        <w:tc>
          <w:tcPr>
            <w:tcW w:type="dxa" w:w="4513"/>
            <w:vAlign w:val="center"/>
            <w:tcMar>
              <w:top w:w="70" w:type="dxa"/>
              <w:bottom w:w="70" w:type="dxa"/>
              <w:left w:w="90" w:type="dxa"/>
              <w:right w:w="90" w:type="dxa"/>
            </w:tcMar>
          </w:tcPr>
          <w:p>
            <w:pPr>
              <w:spacing w:before="20" w:after="20" w:line="276" w:lineRule="auto"/>
              <w:jc w:val="center"/>
            </w:pPr>
            <w:r>
              <w:rPr>
                <w:rFonts w:ascii="Times New Roman" w:hAnsi="Times New Roman" w:eastAsia="宋体"/>
                <w:b w:val="0"/>
                <w:color w:val="000000"/>
                <w:sz w:val="18"/>
              </w:rPr>
              <w:t>持久层与数据库</w:t>
            </w:r>
          </w:p>
        </w:tc>
        <w:tc>
          <w:tcPr>
            <w:tcW w:type="dxa" w:w="4513"/>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MyBatis-Plus 3.5.17（通用 CRUD 与乐观锁插件）；MyBatis XML 动态 SQL 复杂聚合统计；MySQL 8.0（InnoDB 引擎，utf8mb4 编码，Asia/Shanghai 时区）</w:t>
            </w:r>
          </w:p>
        </w:tc>
      </w:tr>
      <w:tr>
        <w:trPr>
          <w:cantSplit/>
        </w:trPr>
        <w:tc>
          <w:tcPr>
            <w:tcW w:type="dxa" w:w="4513"/>
            <w:vAlign w:val="center"/>
            <w:tcMar>
              <w:top w:w="70" w:type="dxa"/>
              <w:bottom w:w="70" w:type="dxa"/>
              <w:left w:w="90" w:type="dxa"/>
              <w:right w:w="90" w:type="dxa"/>
            </w:tcMar>
            <w:shd w:fill="F7F7F7"/>
          </w:tcPr>
          <w:p>
            <w:pPr>
              <w:spacing w:before="20" w:after="20" w:line="276" w:lineRule="auto"/>
              <w:jc w:val="center"/>
            </w:pPr>
            <w:r>
              <w:rPr>
                <w:rFonts w:ascii="Times New Roman" w:hAnsi="Times New Roman" w:eastAsia="宋体"/>
                <w:b w:val="0"/>
                <w:color w:val="000000"/>
                <w:sz w:val="18"/>
              </w:rPr>
              <w:t>前端开发体系</w:t>
            </w:r>
          </w:p>
        </w:tc>
        <w:tc>
          <w:tcPr>
            <w:tcW w:type="dxa" w:w="4513"/>
            <w:vAlign w:val="center"/>
            <w:tcMar>
              <w:top w:w="70" w:type="dxa"/>
              <w:bottom w:w="70" w:type="dxa"/>
              <w:left w:w="90" w:type="dxa"/>
              <w:right w:w="90" w:type="dxa"/>
            </w:tcMar>
            <w:shd w:fill="F7F7F7"/>
          </w:tcPr>
          <w:p>
            <w:pPr>
              <w:spacing w:before="20" w:after="20" w:line="276" w:lineRule="auto"/>
            </w:pPr>
            <w:r>
              <w:rPr>
                <w:rFonts w:ascii="Times New Roman" w:hAnsi="Times New Roman" w:eastAsia="宋体"/>
                <w:b w:val="0"/>
                <w:color w:val="000000"/>
                <w:sz w:val="18"/>
              </w:rPr>
              <w:t>Vue 3（组合式 API 架构）；Vite 7 现代构建工具；Element Plus 2.14.5 企业级 UI 组件库；ECharts 6 大数据图表库；GeoCanvas 自适应矢量坐标画布</w:t>
            </w:r>
          </w:p>
        </w:tc>
      </w:tr>
      <w:tr>
        <w:trPr>
          <w:cantSplit/>
        </w:trPr>
        <w:tc>
          <w:tcPr>
            <w:tcW w:type="dxa" w:w="4513"/>
            <w:vAlign w:val="center"/>
            <w:tcMar>
              <w:top w:w="70" w:type="dxa"/>
              <w:bottom w:w="70" w:type="dxa"/>
              <w:left w:w="90" w:type="dxa"/>
              <w:right w:w="90" w:type="dxa"/>
            </w:tcMar>
          </w:tcPr>
          <w:p>
            <w:pPr>
              <w:spacing w:before="20" w:after="20" w:line="276" w:lineRule="auto"/>
              <w:jc w:val="center"/>
            </w:pPr>
            <w:r>
              <w:rPr>
                <w:rFonts w:ascii="Times New Roman" w:hAnsi="Times New Roman" w:eastAsia="宋体"/>
                <w:b w:val="0"/>
                <w:color w:val="000000"/>
                <w:sz w:val="18"/>
              </w:rPr>
              <w:t>质量保障与测试</w:t>
            </w:r>
          </w:p>
        </w:tc>
        <w:tc>
          <w:tcPr>
            <w:tcW w:type="dxa" w:w="4513"/>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JUnit Jupiter 5.12.2；Spring Boot Test（MockMvc 接口自动化测试）；Python 异步高并发压测套件（20 并发双十万级基线）</w:t>
            </w:r>
          </w:p>
        </w:tc>
      </w:tr>
    </w:tbl>
    <w:p>
      <w:pPr>
        <w:spacing w:after="0" w:line="324" w:lineRule="auto"/>
        <w:snapToGrid w:val="0"/>
      </w:pPr>
      <w:r>
        <w:rPr>
          <w:rFonts w:ascii="Times New Roman" w:hAnsi="Times New Roman" w:eastAsia="宋体"/>
          <w:color w:val="000000"/>
          <w:sz w:val="4"/>
        </w:rPr>
      </w:r>
    </w:p>
    <w:p>
      <w:pPr>
        <w:spacing w:after="120" w:line="324" w:lineRule="auto"/>
        <w:snapToGrid w:val="0"/>
      </w:pPr>
      <w:r>
        <w:rPr>
          <w:rFonts w:ascii="Times New Roman" w:hAnsi="Times New Roman" w:eastAsia="宋体"/>
          <w:color w:val="000000"/>
          <w:sz w:val="21"/>
        </w:rPr>
        <w:t>后端全面采用 Spring Boot 3 核心技术栈，统一通过 BOM 管理依赖版本，杜绝依赖版本冲突；前后端采用清晰的契约驱动开发模式，通过标准 RESTful API 进行松耦合交互。</w:t>
      </w:r>
    </w:p>
    <w:p>
      <w:pPr>
        <w:pStyle w:val="Heading1"/>
        <w:spacing w:after="140" w:line="324" w:lineRule="auto" w:before="160"/>
        <w:keepNext/>
        <w:pageBreakBefore/>
        <w:snapToGrid w:val="0"/>
      </w:pPr>
      <w:r>
        <w:rPr>
          <w:rFonts w:ascii="Times New Roman" w:hAnsi="Times New Roman" w:eastAsia="黑体"/>
          <w:b/>
          <w:color w:val="000000"/>
          <w:sz w:val="32"/>
        </w:rPr>
        <w:t>4 系统核心功能需求规格说明</w:t>
      </w:r>
    </w:p>
    <w:p>
      <w:pPr>
        <w:spacing w:after="120" w:line="324" w:lineRule="auto"/>
        <w:snapToGrid w:val="0"/>
      </w:pPr>
      <w:r>
        <w:rPr>
          <w:rFonts w:ascii="Times New Roman" w:hAnsi="Times New Roman" w:eastAsia="宋体"/>
          <w:color w:val="000000"/>
          <w:sz w:val="21"/>
        </w:rPr>
        <w:t>系统以“老人健康守护”为核心业务主线，全面覆盖医养结合场景下的 10 项核心业务功能需求：</w:t>
      </w:r>
    </w:p>
    <w:tbl>
      <w:tblPr>
        <w:tblW w:type="auto" w:w="0"/>
        <w:jc w:val="center"/>
        <w:tblLayout w:type="autofit"/>
        <w:tblLook w:firstColumn="1" w:firstRow="1" w:lastColumn="0" w:lastRow="0" w:noHBand="0" w:noVBand="1" w:val="04A0"/>
        <w:tblBorders>
          <w:top w:val="single" w:sz="6" w:color="B7B7B7"/>
          <w:left w:val="single" w:sz="6" w:color="B7B7B7"/>
          <w:bottom w:val="single" w:sz="6" w:color="B7B7B7"/>
          <w:right w:val="single" w:sz="6" w:color="B7B7B7"/>
          <w:insideH w:val="single" w:sz="6" w:color="B7B7B7"/>
          <w:insideV w:val="single" w:sz="6" w:color="B7B7B7"/>
        </w:tblBorders>
      </w:tblPr>
      <w:tblGrid>
        <w:gridCol w:w="3009"/>
        <w:gridCol w:w="3009"/>
        <w:gridCol w:w="3009"/>
      </w:tblGrid>
      <w:tr>
        <w:trPr>
          <w:cantSplit/>
          <w:tblHeader/>
        </w:trPr>
        <w:tc>
          <w:tcPr>
            <w:tcW w:type="dxa" w:w="3009"/>
            <w:vAlign w:val="center"/>
            <w:tcMar>
              <w:top w:w="70" w:type="dxa"/>
              <w:bottom w:w="70" w:type="dxa"/>
              <w:left w:w="90" w:type="dxa"/>
              <w:right w:w="90" w:type="dxa"/>
            </w:tcMar>
            <w:shd w:fill="D9D9D9"/>
          </w:tcPr>
          <w:p>
            <w:pPr>
              <w:spacing w:before="20" w:after="20" w:line="276" w:lineRule="auto"/>
              <w:jc w:val="center"/>
            </w:pPr>
            <w:r>
              <w:rPr>
                <w:rFonts w:ascii="Times New Roman" w:hAnsi="Times New Roman" w:eastAsia="黑体"/>
                <w:b/>
                <w:color w:val="000000"/>
                <w:sz w:val="18"/>
              </w:rPr>
              <w:t>需求编号</w:t>
            </w:r>
          </w:p>
        </w:tc>
        <w:tc>
          <w:tcPr>
            <w:tcW w:type="dxa" w:w="3009"/>
            <w:vAlign w:val="center"/>
            <w:tcMar>
              <w:top w:w="70" w:type="dxa"/>
              <w:bottom w:w="70" w:type="dxa"/>
              <w:left w:w="90" w:type="dxa"/>
              <w:right w:w="90" w:type="dxa"/>
            </w:tcMar>
            <w:shd w:fill="D9D9D9"/>
          </w:tcPr>
          <w:p>
            <w:pPr>
              <w:spacing w:before="20" w:after="20" w:line="276" w:lineRule="auto"/>
            </w:pPr>
            <w:r>
              <w:rPr>
                <w:rFonts w:ascii="Times New Roman" w:hAnsi="Times New Roman" w:eastAsia="黑体"/>
                <w:b/>
                <w:color w:val="000000"/>
                <w:sz w:val="18"/>
              </w:rPr>
              <w:t>功能模块</w:t>
            </w:r>
          </w:p>
        </w:tc>
        <w:tc>
          <w:tcPr>
            <w:tcW w:type="dxa" w:w="3009"/>
            <w:vAlign w:val="center"/>
            <w:tcMar>
              <w:top w:w="70" w:type="dxa"/>
              <w:bottom w:w="70" w:type="dxa"/>
              <w:left w:w="90" w:type="dxa"/>
              <w:right w:w="90" w:type="dxa"/>
            </w:tcMar>
            <w:shd w:fill="D9D9D9"/>
          </w:tcPr>
          <w:p>
            <w:pPr>
              <w:spacing w:before="20" w:after="20" w:line="276" w:lineRule="auto"/>
            </w:pPr>
            <w:r>
              <w:rPr>
                <w:rFonts w:ascii="Times New Roman" w:hAnsi="Times New Roman" w:eastAsia="黑体"/>
                <w:b/>
                <w:color w:val="000000"/>
                <w:sz w:val="18"/>
              </w:rPr>
              <w:t>核心业务流与验收条件</w:t>
            </w:r>
          </w:p>
        </w:tc>
      </w:tr>
      <w:tr>
        <w:trPr>
          <w:cantSplit/>
        </w:trPr>
        <w:tc>
          <w:tcPr>
            <w:tcW w:type="dxa" w:w="3009"/>
            <w:vAlign w:val="center"/>
            <w:tcMar>
              <w:top w:w="70" w:type="dxa"/>
              <w:bottom w:w="70" w:type="dxa"/>
              <w:left w:w="90" w:type="dxa"/>
              <w:right w:w="90" w:type="dxa"/>
            </w:tcMar>
          </w:tcPr>
          <w:p>
            <w:pPr>
              <w:spacing w:before="20" w:after="20" w:line="276" w:lineRule="auto"/>
              <w:jc w:val="center"/>
            </w:pPr>
            <w:r>
              <w:rPr>
                <w:rFonts w:ascii="Times New Roman" w:hAnsi="Times New Roman" w:eastAsia="宋体"/>
                <w:b w:val="0"/>
                <w:color w:val="000000"/>
                <w:sz w:val="18"/>
              </w:rPr>
              <w:t>FR01</w:t>
            </w:r>
          </w:p>
        </w:tc>
        <w:tc>
          <w:tcPr>
            <w:tcW w:type="dxa" w:w="3009"/>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系统登录与身份安全</w:t>
            </w:r>
          </w:p>
        </w:tc>
        <w:tc>
          <w:tcPr>
            <w:tcW w:type="dxa" w:w="3009"/>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支持多角色凭据认证与动态 CSRF 防御；未携带认证凭证的请求均拦截并返回 HTTP 401；注销后即时销毁会话使凭证失效。</w:t>
            </w:r>
          </w:p>
        </w:tc>
      </w:tr>
      <w:tr>
        <w:trPr>
          <w:cantSplit/>
        </w:trPr>
        <w:tc>
          <w:tcPr>
            <w:tcW w:type="dxa" w:w="3009"/>
            <w:vAlign w:val="center"/>
            <w:tcMar>
              <w:top w:w="70" w:type="dxa"/>
              <w:bottom w:w="70" w:type="dxa"/>
              <w:left w:w="90" w:type="dxa"/>
              <w:right w:w="90" w:type="dxa"/>
            </w:tcMar>
            <w:shd w:fill="F7F7F7"/>
          </w:tcPr>
          <w:p>
            <w:pPr>
              <w:spacing w:before="20" w:after="20" w:line="276" w:lineRule="auto"/>
              <w:jc w:val="center"/>
            </w:pPr>
            <w:r>
              <w:rPr>
                <w:rFonts w:ascii="Times New Roman" w:hAnsi="Times New Roman" w:eastAsia="宋体"/>
                <w:b w:val="0"/>
                <w:color w:val="000000"/>
                <w:sz w:val="18"/>
              </w:rPr>
              <w:t>FR02</w:t>
            </w:r>
          </w:p>
        </w:tc>
        <w:tc>
          <w:tcPr>
            <w:tcW w:type="dxa" w:w="3009"/>
            <w:vAlign w:val="center"/>
            <w:tcMar>
              <w:top w:w="70" w:type="dxa"/>
              <w:bottom w:w="70" w:type="dxa"/>
              <w:left w:w="90" w:type="dxa"/>
              <w:right w:w="90" w:type="dxa"/>
            </w:tcMar>
            <w:shd w:fill="F7F7F7"/>
          </w:tcPr>
          <w:p>
            <w:pPr>
              <w:spacing w:before="20" w:after="20" w:line="276" w:lineRule="auto"/>
            </w:pPr>
            <w:r>
              <w:rPr>
                <w:rFonts w:ascii="Times New Roman" w:hAnsi="Times New Roman" w:eastAsia="宋体"/>
                <w:b w:val="0"/>
                <w:color w:val="000000"/>
                <w:sz w:val="18"/>
              </w:rPr>
              <w:t>综合运营决策大盘</w:t>
            </w:r>
          </w:p>
        </w:tc>
        <w:tc>
          <w:tcPr>
            <w:tcW w:type="dxa" w:w="3009"/>
            <w:vAlign w:val="center"/>
            <w:tcMar>
              <w:top w:w="70" w:type="dxa"/>
              <w:bottom w:w="70" w:type="dxa"/>
              <w:left w:w="90" w:type="dxa"/>
              <w:right w:w="90" w:type="dxa"/>
            </w:tcMar>
            <w:shd w:fill="F7F7F7"/>
          </w:tcPr>
          <w:p>
            <w:pPr>
              <w:spacing w:before="20" w:after="20" w:line="276" w:lineRule="auto"/>
            </w:pPr>
            <w:r>
              <w:rPr>
                <w:rFonts w:ascii="Times New Roman" w:hAnsi="Times New Roman" w:eastAsia="宋体"/>
                <w:b w:val="0"/>
                <w:color w:val="000000"/>
                <w:sz w:val="18"/>
              </w:rPr>
              <w:t>支持机构地区与时间范围多维筛选；实时跨表聚合在册老人、异常健康、随访履约率、设备在线率及围栏报警关键指标，支持模块快速下钻。</w:t>
            </w:r>
          </w:p>
        </w:tc>
      </w:tr>
      <w:tr>
        <w:trPr>
          <w:cantSplit/>
        </w:trPr>
        <w:tc>
          <w:tcPr>
            <w:tcW w:type="dxa" w:w="3009"/>
            <w:vAlign w:val="center"/>
            <w:tcMar>
              <w:top w:w="70" w:type="dxa"/>
              <w:bottom w:w="70" w:type="dxa"/>
              <w:left w:w="90" w:type="dxa"/>
              <w:right w:w="90" w:type="dxa"/>
            </w:tcMar>
          </w:tcPr>
          <w:p>
            <w:pPr>
              <w:spacing w:before="20" w:after="20" w:line="276" w:lineRule="auto"/>
              <w:jc w:val="center"/>
            </w:pPr>
            <w:r>
              <w:rPr>
                <w:rFonts w:ascii="Times New Roman" w:hAnsi="Times New Roman" w:eastAsia="宋体"/>
                <w:b w:val="0"/>
                <w:color w:val="000000"/>
                <w:sz w:val="18"/>
              </w:rPr>
              <w:t>FR03</w:t>
            </w:r>
          </w:p>
        </w:tc>
        <w:tc>
          <w:tcPr>
            <w:tcW w:type="dxa" w:w="3009"/>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老人档案与受限维护</w:t>
            </w:r>
          </w:p>
        </w:tc>
        <w:tc>
          <w:tcPr>
            <w:tcW w:type="dxa" w:w="3009"/>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支持老人基础档案建档、编辑、软归档与分页检索；支持未知性别与出生日期单列容错；仅系统管理员可物理删除无任何业务关联的误录档案。</w:t>
            </w:r>
          </w:p>
        </w:tc>
      </w:tr>
      <w:tr>
        <w:trPr>
          <w:cantSplit/>
        </w:trPr>
        <w:tc>
          <w:tcPr>
            <w:tcW w:type="dxa" w:w="3009"/>
            <w:vAlign w:val="center"/>
            <w:tcMar>
              <w:top w:w="70" w:type="dxa"/>
              <w:bottom w:w="70" w:type="dxa"/>
              <w:left w:w="90" w:type="dxa"/>
              <w:right w:w="90" w:type="dxa"/>
            </w:tcMar>
            <w:shd w:fill="F7F7F7"/>
          </w:tcPr>
          <w:p>
            <w:pPr>
              <w:spacing w:before="20" w:after="20" w:line="276" w:lineRule="auto"/>
              <w:jc w:val="center"/>
            </w:pPr>
            <w:r>
              <w:rPr>
                <w:rFonts w:ascii="Times New Roman" w:hAnsi="Times New Roman" w:eastAsia="宋体"/>
                <w:b w:val="0"/>
                <w:color w:val="000000"/>
                <w:sz w:val="18"/>
              </w:rPr>
              <w:t>FR04</w:t>
            </w:r>
          </w:p>
        </w:tc>
        <w:tc>
          <w:tcPr>
            <w:tcW w:type="dxa" w:w="3009"/>
            <w:vAlign w:val="center"/>
            <w:tcMar>
              <w:top w:w="70" w:type="dxa"/>
              <w:bottom w:w="70" w:type="dxa"/>
              <w:left w:w="90" w:type="dxa"/>
              <w:right w:w="90" w:type="dxa"/>
            </w:tcMar>
            <w:shd w:fill="F7F7F7"/>
          </w:tcPr>
          <w:p>
            <w:pPr>
              <w:spacing w:before="20" w:after="20" w:line="276" w:lineRule="auto"/>
            </w:pPr>
            <w:r>
              <w:rPr>
                <w:rFonts w:ascii="Times New Roman" w:hAnsi="Times New Roman" w:eastAsia="宋体"/>
                <w:b w:val="0"/>
                <w:color w:val="000000"/>
                <w:sz w:val="18"/>
              </w:rPr>
              <w:t>多维健康体检监测</w:t>
            </w:r>
          </w:p>
        </w:tc>
        <w:tc>
          <w:tcPr>
            <w:tcW w:type="dxa" w:w="3009"/>
            <w:vAlign w:val="center"/>
            <w:tcMar>
              <w:top w:w="70" w:type="dxa"/>
              <w:bottom w:w="70" w:type="dxa"/>
              <w:left w:w="90" w:type="dxa"/>
              <w:right w:w="90" w:type="dxa"/>
            </w:tcMar>
            <w:shd w:fill="F7F7F7"/>
          </w:tcPr>
          <w:p>
            <w:pPr>
              <w:spacing w:before="20" w:after="20" w:line="276" w:lineRule="auto"/>
            </w:pPr>
            <w:r>
              <w:rPr>
                <w:rFonts w:ascii="Times New Roman" w:hAnsi="Times New Roman" w:eastAsia="宋体"/>
                <w:b w:val="0"/>
                <w:color w:val="000000"/>
                <w:sz w:val="18"/>
              </w:rPr>
              <w:t>支持收缩压、舒张压、心率、血氧、体温五项指标录入；自动比对教学阈值并持久化规则快照；支持检测人次与去重人数统计，支持个体健康趋势下钻。</w:t>
            </w:r>
          </w:p>
        </w:tc>
      </w:tr>
      <w:tr>
        <w:trPr>
          <w:cantSplit/>
        </w:trPr>
        <w:tc>
          <w:tcPr>
            <w:tcW w:type="dxa" w:w="3009"/>
            <w:vAlign w:val="center"/>
            <w:tcMar>
              <w:top w:w="70" w:type="dxa"/>
              <w:bottom w:w="70" w:type="dxa"/>
              <w:left w:w="90" w:type="dxa"/>
              <w:right w:w="90" w:type="dxa"/>
            </w:tcMar>
          </w:tcPr>
          <w:p>
            <w:pPr>
              <w:spacing w:before="20" w:after="20" w:line="276" w:lineRule="auto"/>
              <w:jc w:val="center"/>
            </w:pPr>
            <w:r>
              <w:rPr>
                <w:rFonts w:ascii="Times New Roman" w:hAnsi="Times New Roman" w:eastAsia="宋体"/>
                <w:b w:val="0"/>
                <w:color w:val="000000"/>
                <w:sz w:val="18"/>
              </w:rPr>
              <w:t>FR05</w:t>
            </w:r>
          </w:p>
        </w:tc>
        <w:tc>
          <w:tcPr>
            <w:tcW w:type="dxa" w:w="3009"/>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家庭医生随访履约</w:t>
            </w:r>
          </w:p>
        </w:tc>
        <w:tc>
          <w:tcPr>
            <w:tcW w:type="dxa" w:w="3009"/>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支持按老人与签约医生制定随访计划；支持履约完成录入或因故取消；单项计划严格保证一次完成；对未排期老人统计完成率显示无计划。</w:t>
            </w:r>
          </w:p>
        </w:tc>
      </w:tr>
      <w:tr>
        <w:trPr>
          <w:cantSplit/>
        </w:trPr>
        <w:tc>
          <w:tcPr>
            <w:tcW w:type="dxa" w:w="3009"/>
            <w:vAlign w:val="center"/>
            <w:tcMar>
              <w:top w:w="70" w:type="dxa"/>
              <w:bottom w:w="70" w:type="dxa"/>
              <w:left w:w="90" w:type="dxa"/>
              <w:right w:w="90" w:type="dxa"/>
            </w:tcMar>
            <w:shd w:fill="F7F7F7"/>
          </w:tcPr>
          <w:p>
            <w:pPr>
              <w:spacing w:before="20" w:after="20" w:line="276" w:lineRule="auto"/>
              <w:jc w:val="center"/>
            </w:pPr>
            <w:r>
              <w:rPr>
                <w:rFonts w:ascii="Times New Roman" w:hAnsi="Times New Roman" w:eastAsia="宋体"/>
                <w:b w:val="0"/>
                <w:color w:val="000000"/>
                <w:sz w:val="18"/>
              </w:rPr>
              <w:t>FR06</w:t>
            </w:r>
          </w:p>
        </w:tc>
        <w:tc>
          <w:tcPr>
            <w:tcW w:type="dxa" w:w="3009"/>
            <w:vAlign w:val="center"/>
            <w:tcMar>
              <w:top w:w="70" w:type="dxa"/>
              <w:bottom w:w="70" w:type="dxa"/>
              <w:left w:w="90" w:type="dxa"/>
              <w:right w:w="90" w:type="dxa"/>
            </w:tcMar>
            <w:shd w:fill="F7F7F7"/>
          </w:tcPr>
          <w:p>
            <w:pPr>
              <w:spacing w:before="20" w:after="20" w:line="276" w:lineRule="auto"/>
            </w:pPr>
            <w:r>
              <w:rPr>
                <w:rFonts w:ascii="Times New Roman" w:hAnsi="Times New Roman" w:eastAsia="宋体"/>
                <w:b w:val="0"/>
                <w:color w:val="000000"/>
                <w:sz w:val="18"/>
              </w:rPr>
              <w:t>智能腕表设备管理</w:t>
            </w:r>
          </w:p>
        </w:tc>
        <w:tc>
          <w:tcPr>
            <w:tcW w:type="dxa" w:w="3009"/>
            <w:vAlign w:val="center"/>
            <w:tcMar>
              <w:top w:w="70" w:type="dxa"/>
              <w:bottom w:w="70" w:type="dxa"/>
              <w:left w:w="90" w:type="dxa"/>
              <w:right w:w="90" w:type="dxa"/>
            </w:tcMar>
            <w:shd w:fill="F7F7F7"/>
          </w:tcPr>
          <w:p>
            <w:pPr>
              <w:spacing w:before="20" w:after="20" w:line="276" w:lineRule="auto"/>
            </w:pPr>
            <w:r>
              <w:rPr>
                <w:rFonts w:ascii="Times New Roman" w:hAnsi="Times New Roman" w:eastAsia="宋体"/>
                <w:b w:val="0"/>
                <w:color w:val="000000"/>
                <w:sz w:val="18"/>
              </w:rPr>
              <w:t>支持智能穿戴设备入库登记、状态启禁用；支持设备与老人一对一绑定及历史解绑责任追溯；支持心跳健康度检测与最新定位呈现。</w:t>
            </w:r>
          </w:p>
        </w:tc>
      </w:tr>
      <w:tr>
        <w:trPr>
          <w:cantSplit/>
        </w:trPr>
        <w:tc>
          <w:tcPr>
            <w:tcW w:type="dxa" w:w="3009"/>
            <w:vAlign w:val="center"/>
            <w:tcMar>
              <w:top w:w="70" w:type="dxa"/>
              <w:bottom w:w="70" w:type="dxa"/>
              <w:left w:w="90" w:type="dxa"/>
              <w:right w:w="90" w:type="dxa"/>
            </w:tcMar>
          </w:tcPr>
          <w:p>
            <w:pPr>
              <w:spacing w:before="20" w:after="20" w:line="276" w:lineRule="auto"/>
              <w:jc w:val="center"/>
            </w:pPr>
            <w:r>
              <w:rPr>
                <w:rFonts w:ascii="Times New Roman" w:hAnsi="Times New Roman" w:eastAsia="宋体"/>
                <w:b w:val="0"/>
                <w:color w:val="000000"/>
                <w:sz w:val="18"/>
              </w:rPr>
              <w:t>FR07</w:t>
            </w:r>
          </w:p>
        </w:tc>
        <w:tc>
          <w:tcPr>
            <w:tcW w:type="dxa" w:w="3009"/>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空间电子围栏布控</w:t>
            </w:r>
          </w:p>
        </w:tc>
        <w:tc>
          <w:tcPr>
            <w:tcW w:type="dxa" w:w="3009"/>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支持圆形电子围栏划定、半径设置与老人成员纳管；基于 Haversine 球面测距模型，老人越界触发且仅触发一次告警事件，返回围栏自动结束并留痕。</w:t>
            </w:r>
          </w:p>
        </w:tc>
      </w:tr>
      <w:tr>
        <w:trPr>
          <w:cantSplit/>
        </w:trPr>
        <w:tc>
          <w:tcPr>
            <w:tcW w:type="dxa" w:w="3009"/>
            <w:vAlign w:val="center"/>
            <w:tcMar>
              <w:top w:w="70" w:type="dxa"/>
              <w:bottom w:w="70" w:type="dxa"/>
              <w:left w:w="90" w:type="dxa"/>
              <w:right w:w="90" w:type="dxa"/>
            </w:tcMar>
            <w:shd w:fill="F7F7F7"/>
          </w:tcPr>
          <w:p>
            <w:pPr>
              <w:spacing w:before="20" w:after="20" w:line="276" w:lineRule="auto"/>
              <w:jc w:val="center"/>
            </w:pPr>
            <w:r>
              <w:rPr>
                <w:rFonts w:ascii="Times New Roman" w:hAnsi="Times New Roman" w:eastAsia="宋体"/>
                <w:b w:val="0"/>
                <w:color w:val="000000"/>
                <w:sz w:val="18"/>
              </w:rPr>
              <w:t>FR08</w:t>
            </w:r>
          </w:p>
        </w:tc>
        <w:tc>
          <w:tcPr>
            <w:tcW w:type="dxa" w:w="3009"/>
            <w:vAlign w:val="center"/>
            <w:tcMar>
              <w:top w:w="70" w:type="dxa"/>
              <w:bottom w:w="70" w:type="dxa"/>
              <w:left w:w="90" w:type="dxa"/>
              <w:right w:w="90" w:type="dxa"/>
            </w:tcMar>
            <w:shd w:fill="F7F7F7"/>
          </w:tcPr>
          <w:p>
            <w:pPr>
              <w:spacing w:before="20" w:after="20" w:line="276" w:lineRule="auto"/>
            </w:pPr>
            <w:r>
              <w:rPr>
                <w:rFonts w:ascii="Times New Roman" w:hAnsi="Times New Roman" w:eastAsia="宋体"/>
                <w:b w:val="0"/>
                <w:color w:val="000000"/>
                <w:sz w:val="18"/>
              </w:rPr>
              <w:t>历史行动轨迹回放</w:t>
            </w:r>
          </w:p>
        </w:tc>
        <w:tc>
          <w:tcPr>
            <w:tcW w:type="dxa" w:w="3009"/>
            <w:vAlign w:val="center"/>
            <w:tcMar>
              <w:top w:w="70" w:type="dxa"/>
              <w:bottom w:w="70" w:type="dxa"/>
              <w:left w:w="90" w:type="dxa"/>
              <w:right w:w="90" w:type="dxa"/>
            </w:tcMar>
            <w:shd w:fill="F7F7F7"/>
          </w:tcPr>
          <w:p>
            <w:pPr>
              <w:spacing w:before="20" w:after="20" w:line="276" w:lineRule="auto"/>
            </w:pPr>
            <w:r>
              <w:rPr>
                <w:rFonts w:ascii="Times New Roman" w:hAnsi="Times New Roman" w:eastAsia="宋体"/>
                <w:b w:val="0"/>
                <w:color w:val="000000"/>
                <w:sz w:val="18"/>
              </w:rPr>
              <w:t>支持按老人查询 24 小时内的真实定位轨迹，单次最多加载 5000 点；前端支持播放、暂停、倍速回放；对相邻超过 10 分钟的点自动标注时序缺口。</w:t>
            </w:r>
          </w:p>
        </w:tc>
      </w:tr>
      <w:tr>
        <w:trPr>
          <w:cantSplit/>
        </w:trPr>
        <w:tc>
          <w:tcPr>
            <w:tcW w:type="dxa" w:w="3009"/>
            <w:vAlign w:val="center"/>
            <w:tcMar>
              <w:top w:w="70" w:type="dxa"/>
              <w:bottom w:w="70" w:type="dxa"/>
              <w:left w:w="90" w:type="dxa"/>
              <w:right w:w="90" w:type="dxa"/>
            </w:tcMar>
          </w:tcPr>
          <w:p>
            <w:pPr>
              <w:spacing w:before="20" w:after="20" w:line="276" w:lineRule="auto"/>
              <w:jc w:val="center"/>
            </w:pPr>
            <w:r>
              <w:rPr>
                <w:rFonts w:ascii="Times New Roman" w:hAnsi="Times New Roman" w:eastAsia="宋体"/>
                <w:b w:val="0"/>
                <w:color w:val="000000"/>
                <w:sz w:val="18"/>
              </w:rPr>
              <w:t>FR09</w:t>
            </w:r>
          </w:p>
        </w:tc>
        <w:tc>
          <w:tcPr>
            <w:tcW w:type="dxa" w:w="3009"/>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空间轨迹数据模拟</w:t>
            </w:r>
          </w:p>
        </w:tc>
        <w:tc>
          <w:tcPr>
            <w:tcW w:type="dxa" w:w="3009"/>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系统管理员在演示环境下支持单点、直线、环形及越界返回四类轨迹模式生成；支持在画布中即时预览并一键批量注入最多 500 点时序定位。</w:t>
            </w:r>
          </w:p>
        </w:tc>
      </w:tr>
      <w:tr>
        <w:trPr>
          <w:cantSplit/>
        </w:trPr>
        <w:tc>
          <w:tcPr>
            <w:tcW w:type="dxa" w:w="3009"/>
            <w:vAlign w:val="center"/>
            <w:tcMar>
              <w:top w:w="70" w:type="dxa"/>
              <w:bottom w:w="70" w:type="dxa"/>
              <w:left w:w="90" w:type="dxa"/>
              <w:right w:w="90" w:type="dxa"/>
            </w:tcMar>
            <w:shd w:fill="F7F7F7"/>
          </w:tcPr>
          <w:p>
            <w:pPr>
              <w:spacing w:before="20" w:after="20" w:line="276" w:lineRule="auto"/>
              <w:jc w:val="center"/>
            </w:pPr>
            <w:r>
              <w:rPr>
                <w:rFonts w:ascii="Times New Roman" w:hAnsi="Times New Roman" w:eastAsia="宋体"/>
                <w:b w:val="0"/>
                <w:color w:val="000000"/>
                <w:sz w:val="18"/>
              </w:rPr>
              <w:t>FR10</w:t>
            </w:r>
          </w:p>
        </w:tc>
        <w:tc>
          <w:tcPr>
            <w:tcW w:type="dxa" w:w="3009"/>
            <w:vAlign w:val="center"/>
            <w:tcMar>
              <w:top w:w="70" w:type="dxa"/>
              <w:bottom w:w="70" w:type="dxa"/>
              <w:left w:w="90" w:type="dxa"/>
              <w:right w:w="90" w:type="dxa"/>
            </w:tcMar>
            <w:shd w:fill="F7F7F7"/>
          </w:tcPr>
          <w:p>
            <w:pPr>
              <w:spacing w:before="20" w:after="20" w:line="276" w:lineRule="auto"/>
            </w:pPr>
            <w:r>
              <w:rPr>
                <w:rFonts w:ascii="Times New Roman" w:hAnsi="Times New Roman" w:eastAsia="宋体"/>
                <w:b w:val="0"/>
                <w:color w:val="000000"/>
                <w:sz w:val="18"/>
              </w:rPr>
              <w:t>设备 GPS 标准接入</w:t>
            </w:r>
          </w:p>
        </w:tc>
        <w:tc>
          <w:tcPr>
            <w:tcW w:type="dxa" w:w="3009"/>
            <w:vAlign w:val="center"/>
            <w:tcMar>
              <w:top w:w="70" w:type="dxa"/>
              <w:bottom w:w="70" w:type="dxa"/>
              <w:left w:w="90" w:type="dxa"/>
              <w:right w:w="90" w:type="dxa"/>
            </w:tcMar>
            <w:shd w:fill="F7F7F7"/>
          </w:tcPr>
          <w:p>
            <w:pPr>
              <w:spacing w:before="20" w:after="20" w:line="276" w:lineRule="auto"/>
            </w:pPr>
            <w:r>
              <w:rPr>
                <w:rFonts w:ascii="Times New Roman" w:hAnsi="Times New Roman" w:eastAsia="宋体"/>
                <w:b w:val="0"/>
                <w:color w:val="000000"/>
                <w:sz w:val="18"/>
              </w:rPr>
              <w:t>面向智能穿戴硬件提供标准 HTTP 接入协议；每台设备签发专属 X-Device-Key 接入密钥；支持批量定位与心跳上报，基于 (device_id, event_id) 保证幂等性。</w:t>
            </w:r>
          </w:p>
        </w:tc>
      </w:tr>
    </w:tbl>
    <w:p>
      <w:pPr>
        <w:spacing w:after="0" w:line="324" w:lineRule="auto"/>
        <w:snapToGrid w:val="0"/>
      </w:pPr>
      <w:r>
        <w:rPr>
          <w:rFonts w:ascii="Times New Roman" w:hAnsi="Times New Roman" w:eastAsia="宋体"/>
          <w:color w:val="000000"/>
          <w:sz w:val="4"/>
        </w:rPr>
      </w:r>
    </w:p>
    <w:p>
      <w:pPr>
        <w:pStyle w:val="Heading1"/>
        <w:spacing w:after="140" w:line="324" w:lineRule="auto" w:before="160"/>
        <w:keepNext/>
        <w:snapToGrid w:val="0"/>
      </w:pPr>
      <w:r>
        <w:rPr>
          <w:rFonts w:ascii="Times New Roman" w:hAnsi="Times New Roman" w:eastAsia="黑体"/>
          <w:b/>
          <w:color w:val="000000"/>
          <w:sz w:val="32"/>
        </w:rPr>
        <w:t>5 核心业务数据流与配套管理机制</w:t>
      </w:r>
    </w:p>
    <w:p>
      <w:pPr>
        <w:spacing w:after="120" w:line="324" w:lineRule="auto"/>
        <w:snapToGrid w:val="0"/>
      </w:pPr>
      <w:r>
        <w:rPr>
          <w:rFonts w:ascii="Times New Roman" w:hAnsi="Times New Roman" w:eastAsia="宋体"/>
          <w:color w:val="000000"/>
          <w:sz w:val="21"/>
        </w:rPr>
        <w:t>系统设计了严密的后台管理与配套闭环机制：系统管理员负责全局用户账号的生命周期管理与安全审计；业务人员负责一线医养业务数据的录入与流转。当老人档案执行归档操作时，系统会自动解绑当前佩戴的腕表设备并移出所属电子围栏，确保数据生命周期严密闭环；同时系统强制保留最后一名有效管理员，防止系统陷入管理死锁。</w:t>
      </w:r>
    </w:p>
    <w:p>
      <w:pPr>
        <w:pStyle w:val="Heading1"/>
        <w:spacing w:after="140" w:line="324" w:lineRule="auto" w:before="160"/>
        <w:keepNext/>
        <w:pageBreakBefore/>
        <w:snapToGrid w:val="0"/>
      </w:pPr>
      <w:r>
        <w:rPr>
          <w:rFonts w:ascii="Times New Roman" w:hAnsi="Times New Roman" w:eastAsia="黑体"/>
          <w:b/>
          <w:color w:val="000000"/>
          <w:sz w:val="32"/>
        </w:rPr>
        <w:t>6 业务数据处理与统计核算口径</w:t>
      </w:r>
    </w:p>
    <w:p>
      <w:pPr>
        <w:spacing w:after="120" w:line="324" w:lineRule="auto"/>
        <w:snapToGrid w:val="0"/>
      </w:pPr>
      <w:r>
        <w:rPr>
          <w:rFonts w:ascii="Times New Roman" w:hAnsi="Times New Roman" w:eastAsia="宋体"/>
          <w:color w:val="000000"/>
          <w:sz w:val="21"/>
        </w:rPr>
        <w:t>系统针对多维度聚合查询与决策指标制定了严格统一的计算口径与业务边界：</w:t>
      </w:r>
    </w:p>
    <w:tbl>
      <w:tblPr>
        <w:tblW w:type="auto" w:w="0"/>
        <w:jc w:val="center"/>
        <w:tblLayout w:type="autofit"/>
        <w:tblLook w:firstColumn="1" w:firstRow="1" w:lastColumn="0" w:lastRow="0" w:noHBand="0" w:noVBand="1" w:val="04A0"/>
        <w:tblBorders>
          <w:top w:val="single" w:sz="6" w:color="B7B7B7"/>
          <w:left w:val="single" w:sz="6" w:color="B7B7B7"/>
          <w:bottom w:val="single" w:sz="6" w:color="B7B7B7"/>
          <w:right w:val="single" w:sz="6" w:color="B7B7B7"/>
          <w:insideH w:val="single" w:sz="6" w:color="B7B7B7"/>
          <w:insideV w:val="single" w:sz="6" w:color="B7B7B7"/>
        </w:tblBorders>
      </w:tblPr>
      <w:tblGrid>
        <w:gridCol w:w="4513"/>
        <w:gridCol w:w="4513"/>
      </w:tblGrid>
      <w:tr>
        <w:trPr>
          <w:cantSplit/>
          <w:tblHeader/>
        </w:trPr>
        <w:tc>
          <w:tcPr>
            <w:tcW w:type="dxa" w:w="4513"/>
            <w:vAlign w:val="center"/>
            <w:tcMar>
              <w:top w:w="70" w:type="dxa"/>
              <w:bottom w:w="70" w:type="dxa"/>
              <w:left w:w="90" w:type="dxa"/>
              <w:right w:w="90" w:type="dxa"/>
            </w:tcMar>
            <w:shd w:fill="D9D9D9"/>
          </w:tcPr>
          <w:p>
            <w:pPr>
              <w:spacing w:before="20" w:after="20" w:line="276" w:lineRule="auto"/>
              <w:jc w:val="center"/>
            </w:pPr>
            <w:r>
              <w:rPr>
                <w:rFonts w:ascii="Times New Roman" w:hAnsi="Times New Roman" w:eastAsia="黑体"/>
                <w:b/>
                <w:color w:val="000000"/>
                <w:sz w:val="18"/>
              </w:rPr>
              <w:t>核算主题</w:t>
            </w:r>
          </w:p>
        </w:tc>
        <w:tc>
          <w:tcPr>
            <w:tcW w:type="dxa" w:w="4513"/>
            <w:vAlign w:val="center"/>
            <w:tcMar>
              <w:top w:w="70" w:type="dxa"/>
              <w:bottom w:w="70" w:type="dxa"/>
              <w:left w:w="90" w:type="dxa"/>
              <w:right w:w="90" w:type="dxa"/>
            </w:tcMar>
            <w:shd w:fill="D9D9D9"/>
          </w:tcPr>
          <w:p>
            <w:pPr>
              <w:spacing w:before="20" w:after="20" w:line="276" w:lineRule="auto"/>
            </w:pPr>
            <w:r>
              <w:rPr>
                <w:rFonts w:ascii="Times New Roman" w:hAnsi="Times New Roman" w:eastAsia="黑体"/>
                <w:b/>
                <w:color w:val="000000"/>
                <w:sz w:val="18"/>
              </w:rPr>
              <w:t>数据处理口径与算法规则</w:t>
            </w:r>
          </w:p>
        </w:tc>
      </w:tr>
      <w:tr>
        <w:trPr>
          <w:cantSplit/>
        </w:trPr>
        <w:tc>
          <w:tcPr>
            <w:tcW w:type="dxa" w:w="4513"/>
            <w:vAlign w:val="center"/>
            <w:tcMar>
              <w:top w:w="70" w:type="dxa"/>
              <w:bottom w:w="70" w:type="dxa"/>
              <w:left w:w="90" w:type="dxa"/>
              <w:right w:w="90" w:type="dxa"/>
            </w:tcMar>
          </w:tcPr>
          <w:p>
            <w:pPr>
              <w:spacing w:before="20" w:after="20" w:line="276" w:lineRule="auto"/>
              <w:jc w:val="center"/>
            </w:pPr>
            <w:r>
              <w:rPr>
                <w:rFonts w:ascii="Times New Roman" w:hAnsi="Times New Roman" w:eastAsia="宋体"/>
                <w:b w:val="0"/>
                <w:color w:val="000000"/>
                <w:sz w:val="18"/>
              </w:rPr>
              <w:t>时间与时区规范</w:t>
            </w:r>
          </w:p>
        </w:tc>
        <w:tc>
          <w:tcPr>
            <w:tcW w:type="dxa" w:w="4513"/>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API 接口统一传递带时区偏移的标准 ISO 时间戳，底层数据库统一存储为 Asia/Shanghai 时区微秒级 DATETIME(6)。时间范围查询严格遵循 [start, end) 左闭右开原则，结束日期在前端自动换算为次日零点。</w:t>
            </w:r>
          </w:p>
        </w:tc>
      </w:tr>
      <w:tr>
        <w:trPr>
          <w:cantSplit/>
        </w:trPr>
        <w:tc>
          <w:tcPr>
            <w:tcW w:type="dxa" w:w="4513"/>
            <w:vAlign w:val="center"/>
            <w:tcMar>
              <w:top w:w="70" w:type="dxa"/>
              <w:bottom w:w="70" w:type="dxa"/>
              <w:left w:w="90" w:type="dxa"/>
              <w:right w:w="90" w:type="dxa"/>
            </w:tcMar>
            <w:shd w:fill="F7F7F7"/>
          </w:tcPr>
          <w:p>
            <w:pPr>
              <w:spacing w:before="20" w:after="20" w:line="276" w:lineRule="auto"/>
              <w:jc w:val="center"/>
            </w:pPr>
            <w:r>
              <w:rPr>
                <w:rFonts w:ascii="Times New Roman" w:hAnsi="Times New Roman" w:eastAsia="宋体"/>
                <w:b w:val="0"/>
                <w:color w:val="000000"/>
                <w:sz w:val="18"/>
              </w:rPr>
              <w:t>在册常住人口口径</w:t>
            </w:r>
          </w:p>
        </w:tc>
        <w:tc>
          <w:tcPr>
            <w:tcW w:type="dxa" w:w="4513"/>
            <w:vAlign w:val="center"/>
            <w:tcMar>
              <w:top w:w="70" w:type="dxa"/>
              <w:bottom w:w="70" w:type="dxa"/>
              <w:left w:w="90" w:type="dxa"/>
              <w:right w:w="90" w:type="dxa"/>
            </w:tcMar>
            <w:shd w:fill="F7F7F7"/>
          </w:tcPr>
          <w:p>
            <w:pPr>
              <w:spacing w:before="20" w:after="20" w:line="276" w:lineRule="auto"/>
            </w:pPr>
            <w:r>
              <w:rPr>
                <w:rFonts w:ascii="Times New Roman" w:hAnsi="Times New Roman" w:eastAsia="宋体"/>
                <w:b w:val="0"/>
                <w:color w:val="000000"/>
                <w:sz w:val="18"/>
              </w:rPr>
              <w:t>人口统计仅统计 status 为 ACTIVE 的有效建档老人，按统计当天的周岁与所属行政网格进行多维聚合；已归档老人不计入在册人口，未录入年龄或性别者单列为未知维度，杜绝统计偏差。</w:t>
            </w:r>
          </w:p>
        </w:tc>
      </w:tr>
      <w:tr>
        <w:trPr>
          <w:cantSplit/>
        </w:trPr>
        <w:tc>
          <w:tcPr>
            <w:tcW w:type="dxa" w:w="4513"/>
            <w:vAlign w:val="center"/>
            <w:tcMar>
              <w:top w:w="70" w:type="dxa"/>
              <w:bottom w:w="70" w:type="dxa"/>
              <w:left w:w="90" w:type="dxa"/>
              <w:right w:w="90" w:type="dxa"/>
            </w:tcMar>
          </w:tcPr>
          <w:p>
            <w:pPr>
              <w:spacing w:before="20" w:after="20" w:line="276" w:lineRule="auto"/>
              <w:jc w:val="center"/>
            </w:pPr>
            <w:r>
              <w:rPr>
                <w:rFonts w:ascii="Times New Roman" w:hAnsi="Times New Roman" w:eastAsia="宋体"/>
                <w:b w:val="0"/>
                <w:color w:val="000000"/>
                <w:sz w:val="18"/>
              </w:rPr>
              <w:t>健康统计聚合规则</w:t>
            </w:r>
          </w:p>
        </w:tc>
        <w:tc>
          <w:tcPr>
            <w:tcW w:type="dxa" w:w="4513"/>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检测次数按历史流水记录总数累加，体检人数按 elder_id 维度进行精确去重统计。体检指标任一项超出阈值即判定为异常，缺测指标在数据库中保留为 NULL，历史快照与当时判定规则永久绑定。</w:t>
            </w:r>
          </w:p>
        </w:tc>
      </w:tr>
      <w:tr>
        <w:trPr>
          <w:cantSplit/>
        </w:trPr>
        <w:tc>
          <w:tcPr>
            <w:tcW w:type="dxa" w:w="4513"/>
            <w:vAlign w:val="center"/>
            <w:tcMar>
              <w:top w:w="70" w:type="dxa"/>
              <w:bottom w:w="70" w:type="dxa"/>
              <w:left w:w="90" w:type="dxa"/>
              <w:right w:w="90" w:type="dxa"/>
            </w:tcMar>
            <w:shd w:fill="F7F7F7"/>
          </w:tcPr>
          <w:p>
            <w:pPr>
              <w:spacing w:before="20" w:after="20" w:line="276" w:lineRule="auto"/>
              <w:jc w:val="center"/>
            </w:pPr>
            <w:r>
              <w:rPr>
                <w:rFonts w:ascii="Times New Roman" w:hAnsi="Times New Roman" w:eastAsia="宋体"/>
                <w:b w:val="0"/>
                <w:color w:val="000000"/>
                <w:sz w:val="18"/>
              </w:rPr>
              <w:t>随访完成率核算</w:t>
            </w:r>
          </w:p>
        </w:tc>
        <w:tc>
          <w:tcPr>
            <w:tcW w:type="dxa" w:w="4513"/>
            <w:vAlign w:val="center"/>
            <w:tcMar>
              <w:top w:w="70" w:type="dxa"/>
              <w:bottom w:w="70" w:type="dxa"/>
              <w:left w:w="90" w:type="dxa"/>
              <w:right w:w="90" w:type="dxa"/>
            </w:tcMar>
            <w:shd w:fill="F7F7F7"/>
          </w:tcPr>
          <w:p>
            <w:pPr>
              <w:spacing w:before="20" w:after="20" w:line="276" w:lineRule="auto"/>
            </w:pPr>
            <w:r>
              <w:rPr>
                <w:rFonts w:ascii="Times New Roman" w:hAnsi="Times New Roman" w:eastAsia="宋体"/>
                <w:b w:val="0"/>
                <w:color w:val="000000"/>
                <w:sz w:val="18"/>
              </w:rPr>
              <w:t>随访完成率分母为统计周期内到期且截至查询时未取消的计划总数；分子为截止时已实际履约完成的计划数；零分母时指标严格返回 NULL（前端显示暂无计划），避免生成虚假 100% 统计。</w:t>
            </w:r>
          </w:p>
        </w:tc>
      </w:tr>
    </w:tbl>
    <w:p>
      <w:pPr>
        <w:spacing w:after="0" w:line="324" w:lineRule="auto"/>
        <w:snapToGrid w:val="0"/>
      </w:pPr>
      <w:r>
        <w:rPr>
          <w:rFonts w:ascii="Times New Roman" w:hAnsi="Times New Roman" w:eastAsia="宋体"/>
          <w:color w:val="000000"/>
          <w:sz w:val="4"/>
        </w:rPr>
      </w:r>
    </w:p>
    <w:p>
      <w:pPr>
        <w:pStyle w:val="Heading1"/>
        <w:spacing w:after="140" w:line="324" w:lineRule="auto" w:before="160"/>
        <w:keepNext/>
        <w:snapToGrid w:val="0"/>
      </w:pPr>
      <w:r>
        <w:rPr>
          <w:rFonts w:ascii="Times New Roman" w:hAnsi="Times New Roman" w:eastAsia="黑体"/>
          <w:b/>
          <w:color w:val="000000"/>
          <w:sz w:val="32"/>
        </w:rPr>
        <w:t>7 智能设备与空间地理规则</w:t>
      </w:r>
    </w:p>
    <w:p>
      <w:pPr>
        <w:spacing w:after="120" w:line="324" w:lineRule="auto"/>
        <w:snapToGrid w:val="0"/>
      </w:pPr>
      <w:r>
        <w:rPr>
          <w:rFonts w:ascii="Times New Roman" w:hAnsi="Times New Roman" w:eastAsia="宋体"/>
          <w:color w:val="000000"/>
          <w:sz w:val="21"/>
        </w:rPr>
        <w:t>系统对智能穿戴设备的定位流转、空间运算与告警生命周期进行了数学化严谨定义：</w:t>
      </w:r>
    </w:p>
    <w:tbl>
      <w:tblPr>
        <w:tblW w:type="auto" w:w="0"/>
        <w:jc w:val="center"/>
        <w:tblLayout w:type="autofit"/>
        <w:tblLook w:firstColumn="1" w:firstRow="1" w:lastColumn="0" w:lastRow="0" w:noHBand="0" w:noVBand="1" w:val="04A0"/>
        <w:tblBorders>
          <w:top w:val="single" w:sz="6" w:color="B7B7B7"/>
          <w:left w:val="single" w:sz="6" w:color="B7B7B7"/>
          <w:bottom w:val="single" w:sz="6" w:color="B7B7B7"/>
          <w:right w:val="single" w:sz="6" w:color="B7B7B7"/>
          <w:insideH w:val="single" w:sz="6" w:color="B7B7B7"/>
          <w:insideV w:val="single" w:sz="6" w:color="B7B7B7"/>
        </w:tblBorders>
      </w:tblPr>
      <w:tblGrid>
        <w:gridCol w:w="4513"/>
        <w:gridCol w:w="4513"/>
      </w:tblGrid>
      <w:tr>
        <w:trPr>
          <w:cantSplit/>
          <w:tblHeader/>
        </w:trPr>
        <w:tc>
          <w:tcPr>
            <w:tcW w:type="dxa" w:w="4513"/>
            <w:vAlign w:val="center"/>
            <w:tcMar>
              <w:top w:w="70" w:type="dxa"/>
              <w:bottom w:w="70" w:type="dxa"/>
              <w:left w:w="90" w:type="dxa"/>
              <w:right w:w="90" w:type="dxa"/>
            </w:tcMar>
            <w:shd w:fill="D9D9D9"/>
          </w:tcPr>
          <w:p>
            <w:pPr>
              <w:spacing w:before="20" w:after="20" w:line="276" w:lineRule="auto"/>
              <w:jc w:val="center"/>
            </w:pPr>
            <w:r>
              <w:rPr>
                <w:rFonts w:ascii="Times New Roman" w:hAnsi="Times New Roman" w:eastAsia="黑体"/>
                <w:b/>
                <w:color w:val="000000"/>
                <w:sz w:val="18"/>
              </w:rPr>
              <w:t>空间主题</w:t>
            </w:r>
          </w:p>
        </w:tc>
        <w:tc>
          <w:tcPr>
            <w:tcW w:type="dxa" w:w="4513"/>
            <w:vAlign w:val="center"/>
            <w:tcMar>
              <w:top w:w="70" w:type="dxa"/>
              <w:bottom w:w="70" w:type="dxa"/>
              <w:left w:w="90" w:type="dxa"/>
              <w:right w:w="90" w:type="dxa"/>
            </w:tcMar>
            <w:shd w:fill="D9D9D9"/>
          </w:tcPr>
          <w:p>
            <w:pPr>
              <w:spacing w:before="20" w:after="20" w:line="276" w:lineRule="auto"/>
            </w:pPr>
            <w:r>
              <w:rPr>
                <w:rFonts w:ascii="Times New Roman" w:hAnsi="Times New Roman" w:eastAsia="黑体"/>
                <w:b/>
                <w:color w:val="000000"/>
                <w:sz w:val="18"/>
              </w:rPr>
              <w:t>业务算法与容错规则</w:t>
            </w:r>
          </w:p>
        </w:tc>
      </w:tr>
      <w:tr>
        <w:trPr>
          <w:cantSplit/>
        </w:trPr>
        <w:tc>
          <w:tcPr>
            <w:tcW w:type="dxa" w:w="4513"/>
            <w:vAlign w:val="center"/>
            <w:tcMar>
              <w:top w:w="70" w:type="dxa"/>
              <w:bottom w:w="70" w:type="dxa"/>
              <w:left w:w="90" w:type="dxa"/>
              <w:right w:w="90" w:type="dxa"/>
            </w:tcMar>
          </w:tcPr>
          <w:p>
            <w:pPr>
              <w:spacing w:before="20" w:after="20" w:line="276" w:lineRule="auto"/>
              <w:jc w:val="center"/>
            </w:pPr>
            <w:r>
              <w:rPr>
                <w:rFonts w:ascii="Times New Roman" w:hAnsi="Times New Roman" w:eastAsia="宋体"/>
                <w:b w:val="0"/>
                <w:color w:val="000000"/>
                <w:sz w:val="18"/>
              </w:rPr>
              <w:t>设备在线心跳机制</w:t>
            </w:r>
          </w:p>
        </w:tc>
        <w:tc>
          <w:tcPr>
            <w:tcW w:type="dxa" w:w="4513"/>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设备最近一次有效心跳时间与当前时间差在 5 分钟以内判定为在线；超过 5 分钟或无心跳记录判定为离线或未知状态；已停用设备在统计中独立单列，不干扰正常设备健康度。</w:t>
            </w:r>
          </w:p>
        </w:tc>
      </w:tr>
      <w:tr>
        <w:trPr>
          <w:cantSplit/>
        </w:trPr>
        <w:tc>
          <w:tcPr>
            <w:tcW w:type="dxa" w:w="4513"/>
            <w:vAlign w:val="center"/>
            <w:tcMar>
              <w:top w:w="70" w:type="dxa"/>
              <w:bottom w:w="70" w:type="dxa"/>
              <w:left w:w="90" w:type="dxa"/>
              <w:right w:w="90" w:type="dxa"/>
            </w:tcMar>
            <w:shd w:fill="F7F7F7"/>
          </w:tcPr>
          <w:p>
            <w:pPr>
              <w:spacing w:before="20" w:after="20" w:line="276" w:lineRule="auto"/>
              <w:jc w:val="center"/>
            </w:pPr>
            <w:r>
              <w:rPr>
                <w:rFonts w:ascii="Times New Roman" w:hAnsi="Times New Roman" w:eastAsia="宋体"/>
                <w:b w:val="0"/>
                <w:color w:val="000000"/>
                <w:sz w:val="18"/>
              </w:rPr>
              <w:t>围栏告警防抖状态机</w:t>
            </w:r>
          </w:p>
        </w:tc>
        <w:tc>
          <w:tcPr>
            <w:tcW w:type="dxa" w:w="4513"/>
            <w:vAlign w:val="center"/>
            <w:tcMar>
              <w:top w:w="70" w:type="dxa"/>
              <w:bottom w:w="70" w:type="dxa"/>
              <w:left w:w="90" w:type="dxa"/>
              <w:right w:w="90" w:type="dxa"/>
            </w:tcMar>
            <w:shd w:fill="F7F7F7"/>
          </w:tcPr>
          <w:p>
            <w:pPr>
              <w:spacing w:before="20" w:after="20" w:line="276" w:lineRule="auto"/>
            </w:pPr>
            <w:r>
              <w:rPr>
                <w:rFonts w:ascii="Times New Roman" w:hAnsi="Times New Roman" w:eastAsia="宋体"/>
                <w:b w:val="0"/>
                <w:color w:val="000000"/>
                <w:sz w:val="18"/>
              </w:rPr>
              <w:t>采用 WGS84 大圆航线距离算法，实时解算定位点与围栏中心距离。当首个定位点在围栏外且前序状态为内部时触发告警并建立事件；持续在外部仅更新最后定位，绝不重复告警；返回内部后自动闭环本次告警。</w:t>
            </w:r>
          </w:p>
        </w:tc>
      </w:tr>
      <w:tr>
        <w:trPr>
          <w:cantSplit/>
        </w:trPr>
        <w:tc>
          <w:tcPr>
            <w:tcW w:type="dxa" w:w="4513"/>
            <w:vAlign w:val="center"/>
            <w:tcMar>
              <w:top w:w="70" w:type="dxa"/>
              <w:bottom w:w="70" w:type="dxa"/>
              <w:left w:w="90" w:type="dxa"/>
              <w:right w:w="90" w:type="dxa"/>
            </w:tcMar>
          </w:tcPr>
          <w:p>
            <w:pPr>
              <w:spacing w:before="20" w:after="20" w:line="276" w:lineRule="auto"/>
              <w:jc w:val="center"/>
            </w:pPr>
            <w:r>
              <w:rPr>
                <w:rFonts w:ascii="Times New Roman" w:hAnsi="Times New Roman" w:eastAsia="宋体"/>
                <w:b w:val="0"/>
                <w:color w:val="000000"/>
                <w:sz w:val="18"/>
              </w:rPr>
              <w:t>时序乱序与绑定追溯</w:t>
            </w:r>
          </w:p>
        </w:tc>
        <w:tc>
          <w:tcPr>
            <w:tcW w:type="dxa" w:w="4513"/>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设备上报基于 (device_id, event_id) 进行唯一性拦截与幂等处理，相同编号相同内容安全重传，相同编号不同内容返回 409 冲突。定位点严格按发生时间溯源归属至历史有效绑定记录。</w:t>
            </w:r>
          </w:p>
        </w:tc>
      </w:tr>
      <w:tr>
        <w:trPr>
          <w:cantSplit/>
        </w:trPr>
        <w:tc>
          <w:tcPr>
            <w:tcW w:type="dxa" w:w="4513"/>
            <w:vAlign w:val="center"/>
            <w:tcMar>
              <w:top w:w="70" w:type="dxa"/>
              <w:bottom w:w="70" w:type="dxa"/>
              <w:left w:w="90" w:type="dxa"/>
              <w:right w:w="90" w:type="dxa"/>
            </w:tcMar>
            <w:shd w:fill="F7F7F7"/>
          </w:tcPr>
          <w:p>
            <w:pPr>
              <w:spacing w:before="20" w:after="20" w:line="276" w:lineRule="auto"/>
              <w:jc w:val="center"/>
            </w:pPr>
            <w:r>
              <w:rPr>
                <w:rFonts w:ascii="Times New Roman" w:hAnsi="Times New Roman" w:eastAsia="宋体"/>
                <w:b w:val="0"/>
                <w:color w:val="000000"/>
                <w:sz w:val="18"/>
              </w:rPr>
              <w:t>时序轨迹平滑与断点</w:t>
            </w:r>
          </w:p>
        </w:tc>
        <w:tc>
          <w:tcPr>
            <w:tcW w:type="dxa" w:w="4513"/>
            <w:vAlign w:val="center"/>
            <w:tcMar>
              <w:top w:w="70" w:type="dxa"/>
              <w:bottom w:w="70" w:type="dxa"/>
              <w:left w:w="90" w:type="dxa"/>
              <w:right w:w="90" w:type="dxa"/>
            </w:tcMar>
            <w:shd w:fill="F7F7F7"/>
          </w:tcPr>
          <w:p>
            <w:pPr>
              <w:spacing w:before="20" w:after="20" w:line="276" w:lineRule="auto"/>
            </w:pPr>
            <w:r>
              <w:rPr>
                <w:rFonts w:ascii="Times New Roman" w:hAnsi="Times New Roman" w:eastAsia="宋体"/>
                <w:b w:val="0"/>
                <w:color w:val="000000"/>
                <w:sz w:val="18"/>
              </w:rPr>
              <w:t>轨迹回放按照 recorded_at 与自增主键严格升序排列。相邻两点间隔时间超过 10 分钟时，在回放画布上明确以虚线标记时序断点缺口，客观反映设备可能存在的信号盲区，坚决不进行虚假线性补点。</w:t>
            </w:r>
          </w:p>
        </w:tc>
      </w:tr>
    </w:tbl>
    <w:p>
      <w:pPr>
        <w:spacing w:after="0" w:line="324" w:lineRule="auto"/>
        <w:snapToGrid w:val="0"/>
      </w:pPr>
      <w:r>
        <w:rPr>
          <w:rFonts w:ascii="Times New Roman" w:hAnsi="Times New Roman" w:eastAsia="宋体"/>
          <w:color w:val="000000"/>
          <w:sz w:val="4"/>
        </w:rPr>
      </w:r>
    </w:p>
    <w:p>
      <w:pPr>
        <w:spacing w:after="120" w:line="324" w:lineRule="auto"/>
        <w:snapToGrid w:val="0"/>
      </w:pPr>
      <w:r>
        <w:rPr>
          <w:rFonts w:ascii="Times New Roman" w:hAnsi="Times New Roman" w:eastAsia="宋体"/>
          <w:color w:val="000000"/>
          <w:sz w:val="21"/>
        </w:rPr>
        <w:t>电子围栏支持圆形几何模型，配置有效半径范围为 50 米至 5000 米。定位点上报允许客户端最多 60 秒的网络延迟或时钟偏差，超范围坐标与未来时间戳记录予以拒绝入库。</w:t>
      </w:r>
    </w:p>
    <w:p>
      <w:pPr>
        <w:pStyle w:val="Heading1"/>
        <w:spacing w:after="140" w:line="324" w:lineRule="auto" w:before="160"/>
        <w:keepNext/>
        <w:pageBreakBefore/>
        <w:snapToGrid w:val="0"/>
      </w:pPr>
      <w:r>
        <w:rPr>
          <w:rFonts w:ascii="Times New Roman" w:hAnsi="Times New Roman" w:eastAsia="黑体"/>
          <w:b/>
          <w:color w:val="000000"/>
          <w:sz w:val="32"/>
        </w:rPr>
        <w:t>8 非功能性需求（NFR）与质量属性</w:t>
      </w:r>
    </w:p>
    <w:p>
      <w:pPr>
        <w:spacing w:after="120" w:line="324" w:lineRule="auto"/>
        <w:snapToGrid w:val="0"/>
      </w:pPr>
      <w:r>
        <w:rPr>
          <w:rFonts w:ascii="Times New Roman" w:hAnsi="Times New Roman" w:eastAsia="宋体"/>
          <w:color w:val="000000"/>
          <w:sz w:val="21"/>
        </w:rPr>
        <w:t>系统在安全性、高性能、一致性及可用性方面设定了明确的工程质量量化指标：</w:t>
      </w:r>
    </w:p>
    <w:tbl>
      <w:tblPr>
        <w:tblW w:type="auto" w:w="0"/>
        <w:jc w:val="center"/>
        <w:tblLayout w:type="autofit"/>
        <w:tblLook w:firstColumn="1" w:firstRow="1" w:lastColumn="0" w:lastRow="0" w:noHBand="0" w:noVBand="1" w:val="04A0"/>
        <w:tblBorders>
          <w:top w:val="single" w:sz="6" w:color="B7B7B7"/>
          <w:left w:val="single" w:sz="6" w:color="B7B7B7"/>
          <w:bottom w:val="single" w:sz="6" w:color="B7B7B7"/>
          <w:right w:val="single" w:sz="6" w:color="B7B7B7"/>
          <w:insideH w:val="single" w:sz="6" w:color="B7B7B7"/>
          <w:insideV w:val="single" w:sz="6" w:color="B7B7B7"/>
        </w:tblBorders>
      </w:tblPr>
      <w:tblGrid>
        <w:gridCol w:w="3009"/>
        <w:gridCol w:w="3009"/>
        <w:gridCol w:w="3009"/>
      </w:tblGrid>
      <w:tr>
        <w:trPr>
          <w:cantSplit/>
          <w:tblHeader/>
        </w:trPr>
        <w:tc>
          <w:tcPr>
            <w:tcW w:type="dxa" w:w="3009"/>
            <w:vAlign w:val="center"/>
            <w:tcMar>
              <w:top w:w="70" w:type="dxa"/>
              <w:bottom w:w="70" w:type="dxa"/>
              <w:left w:w="90" w:type="dxa"/>
              <w:right w:w="90" w:type="dxa"/>
            </w:tcMar>
            <w:shd w:fill="D9D9D9"/>
          </w:tcPr>
          <w:p>
            <w:pPr>
              <w:spacing w:before="20" w:after="20" w:line="276" w:lineRule="auto"/>
              <w:jc w:val="center"/>
            </w:pPr>
            <w:r>
              <w:rPr>
                <w:rFonts w:ascii="Times New Roman" w:hAnsi="Times New Roman" w:eastAsia="黑体"/>
                <w:b/>
                <w:color w:val="000000"/>
                <w:sz w:val="18"/>
              </w:rPr>
              <w:t>质量编号</w:t>
            </w:r>
          </w:p>
        </w:tc>
        <w:tc>
          <w:tcPr>
            <w:tcW w:type="dxa" w:w="3009"/>
            <w:vAlign w:val="center"/>
            <w:tcMar>
              <w:top w:w="70" w:type="dxa"/>
              <w:bottom w:w="70" w:type="dxa"/>
              <w:left w:w="90" w:type="dxa"/>
              <w:right w:w="90" w:type="dxa"/>
            </w:tcMar>
            <w:shd w:fill="D9D9D9"/>
          </w:tcPr>
          <w:p>
            <w:pPr>
              <w:spacing w:before="20" w:after="20" w:line="276" w:lineRule="auto"/>
            </w:pPr>
            <w:r>
              <w:rPr>
                <w:rFonts w:ascii="Times New Roman" w:hAnsi="Times New Roman" w:eastAsia="黑体"/>
                <w:b/>
                <w:color w:val="000000"/>
                <w:sz w:val="18"/>
              </w:rPr>
              <w:t>质量属性与技术指标</w:t>
            </w:r>
          </w:p>
        </w:tc>
        <w:tc>
          <w:tcPr>
            <w:tcW w:type="dxa" w:w="3009"/>
            <w:vAlign w:val="center"/>
            <w:tcMar>
              <w:top w:w="70" w:type="dxa"/>
              <w:bottom w:w="70" w:type="dxa"/>
              <w:left w:w="90" w:type="dxa"/>
              <w:right w:w="90" w:type="dxa"/>
            </w:tcMar>
            <w:shd w:fill="D9D9D9"/>
          </w:tcPr>
          <w:p>
            <w:pPr>
              <w:spacing w:before="20" w:after="20" w:line="276" w:lineRule="auto"/>
            </w:pPr>
            <w:r>
              <w:rPr>
                <w:rFonts w:ascii="Times New Roman" w:hAnsi="Times New Roman" w:eastAsia="黑体"/>
                <w:b/>
                <w:color w:val="000000"/>
                <w:sz w:val="18"/>
              </w:rPr>
              <w:t>验证手段与达成标准</w:t>
            </w:r>
          </w:p>
        </w:tc>
      </w:tr>
      <w:tr>
        <w:trPr>
          <w:cantSplit/>
        </w:trPr>
        <w:tc>
          <w:tcPr>
            <w:tcW w:type="dxa" w:w="3009"/>
            <w:vAlign w:val="center"/>
            <w:tcMar>
              <w:top w:w="70" w:type="dxa"/>
              <w:bottom w:w="70" w:type="dxa"/>
              <w:left w:w="90" w:type="dxa"/>
              <w:right w:w="90" w:type="dxa"/>
            </w:tcMar>
          </w:tcPr>
          <w:p>
            <w:pPr>
              <w:spacing w:before="20" w:after="20" w:line="276" w:lineRule="auto"/>
              <w:jc w:val="center"/>
            </w:pPr>
            <w:r>
              <w:rPr>
                <w:rFonts w:ascii="Times New Roman" w:hAnsi="Times New Roman" w:eastAsia="宋体"/>
                <w:b w:val="0"/>
                <w:color w:val="000000"/>
                <w:sz w:val="18"/>
              </w:rPr>
              <w:t>NFR01 安全合规</w:t>
            </w:r>
          </w:p>
        </w:tc>
        <w:tc>
          <w:tcPr>
            <w:tcW w:type="dxa" w:w="3009"/>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后台管理写接口必须全部通过 Spring Security CSRF 校验与 RBAC 角色鉴权；设备接口必须携带独立的 X-Device-Key 凭证认证。</w:t>
            </w:r>
          </w:p>
        </w:tc>
        <w:tc>
          <w:tcPr>
            <w:tcW w:type="dxa" w:w="3009"/>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通过 MockMvc 单元测试验证越权与无 Token 拦截，确保敏感接口 100% 防护。</w:t>
            </w:r>
          </w:p>
        </w:tc>
      </w:tr>
      <w:tr>
        <w:trPr>
          <w:cantSplit/>
        </w:trPr>
        <w:tc>
          <w:tcPr>
            <w:tcW w:type="dxa" w:w="3009"/>
            <w:vAlign w:val="center"/>
            <w:tcMar>
              <w:top w:w="70" w:type="dxa"/>
              <w:bottom w:w="70" w:type="dxa"/>
              <w:left w:w="90" w:type="dxa"/>
              <w:right w:w="90" w:type="dxa"/>
            </w:tcMar>
            <w:shd w:fill="F7F7F7"/>
          </w:tcPr>
          <w:p>
            <w:pPr>
              <w:spacing w:before="20" w:after="20" w:line="276" w:lineRule="auto"/>
              <w:jc w:val="center"/>
            </w:pPr>
            <w:r>
              <w:rPr>
                <w:rFonts w:ascii="Times New Roman" w:hAnsi="Times New Roman" w:eastAsia="宋体"/>
                <w:b w:val="0"/>
                <w:color w:val="000000"/>
                <w:sz w:val="18"/>
              </w:rPr>
              <w:t>NFR02 性能基准</w:t>
            </w:r>
          </w:p>
        </w:tc>
        <w:tc>
          <w:tcPr>
            <w:tcW w:type="dxa" w:w="3009"/>
            <w:vAlign w:val="center"/>
            <w:tcMar>
              <w:top w:w="70" w:type="dxa"/>
              <w:bottom w:w="70" w:type="dxa"/>
              <w:left w:w="90" w:type="dxa"/>
              <w:right w:w="90" w:type="dxa"/>
            </w:tcMar>
            <w:shd w:fill="F7F7F7"/>
          </w:tcPr>
          <w:p>
            <w:pPr>
              <w:spacing w:before="20" w:after="20" w:line="276" w:lineRule="auto"/>
            </w:pPr>
            <w:r>
              <w:rPr>
                <w:rFonts w:ascii="Times New Roman" w:hAnsi="Times New Roman" w:eastAsia="宋体"/>
                <w:b w:val="0"/>
                <w:color w:val="000000"/>
                <w:sz w:val="18"/>
              </w:rPr>
              <w:t>在双十万级（10 万健康记录 + 10 万时序定位点）基线数据下，20 并发持续压测 60 秒，系统核心端点平均响应时间 &lt; 850ms，P95 响应时间 ≤ 2.0 秒，错误率保持 0.00%。</w:t>
            </w:r>
          </w:p>
        </w:tc>
        <w:tc>
          <w:tcPr>
            <w:tcW w:type="dxa" w:w="3009"/>
            <w:vAlign w:val="center"/>
            <w:tcMar>
              <w:top w:w="70" w:type="dxa"/>
              <w:bottom w:w="70" w:type="dxa"/>
              <w:left w:w="90" w:type="dxa"/>
              <w:right w:w="90" w:type="dxa"/>
            </w:tcMar>
            <w:shd w:fill="F7F7F7"/>
          </w:tcPr>
          <w:p>
            <w:pPr>
              <w:spacing w:before="20" w:after="20" w:line="276" w:lineRule="auto"/>
            </w:pPr>
            <w:r>
              <w:rPr>
                <w:rFonts w:ascii="Times New Roman" w:hAnsi="Times New Roman" w:eastAsia="宋体"/>
                <w:b w:val="0"/>
                <w:color w:val="000000"/>
                <w:sz w:val="18"/>
              </w:rPr>
              <w:t>通过 Python 性能压测脚本在真实隔离 MySQL 库执行持续压测，记录四核心端点 P95 延迟。</w:t>
            </w:r>
          </w:p>
        </w:tc>
      </w:tr>
      <w:tr>
        <w:trPr>
          <w:cantSplit/>
        </w:trPr>
        <w:tc>
          <w:tcPr>
            <w:tcW w:type="dxa" w:w="3009"/>
            <w:vAlign w:val="center"/>
            <w:tcMar>
              <w:top w:w="70" w:type="dxa"/>
              <w:bottom w:w="70" w:type="dxa"/>
              <w:left w:w="90" w:type="dxa"/>
              <w:right w:w="90" w:type="dxa"/>
            </w:tcMar>
          </w:tcPr>
          <w:p>
            <w:pPr>
              <w:spacing w:before="20" w:after="20" w:line="276" w:lineRule="auto"/>
              <w:jc w:val="center"/>
            </w:pPr>
            <w:r>
              <w:rPr>
                <w:rFonts w:ascii="Times New Roman" w:hAnsi="Times New Roman" w:eastAsia="宋体"/>
                <w:b w:val="0"/>
                <w:color w:val="000000"/>
                <w:sz w:val="18"/>
              </w:rPr>
              <w:t>NFR03 事务一致性</w:t>
            </w:r>
          </w:p>
        </w:tc>
        <w:tc>
          <w:tcPr>
            <w:tcW w:type="dxa" w:w="3009"/>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随访履约完成、设备配对换绑、批量定位上报与围栏状态更新必须包裹在声明式事务中，确保数据更新强一致。</w:t>
            </w:r>
          </w:p>
        </w:tc>
        <w:tc>
          <w:tcPr>
            <w:tcW w:type="dxa" w:w="3009"/>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通过并发更新用例与乐观锁版本号机制验证，保证在高频并发下数据无脏写、无覆盖。</w:t>
            </w:r>
          </w:p>
        </w:tc>
      </w:tr>
      <w:tr>
        <w:trPr>
          <w:cantSplit/>
        </w:trPr>
        <w:tc>
          <w:tcPr>
            <w:tcW w:type="dxa" w:w="3009"/>
            <w:vAlign w:val="center"/>
            <w:tcMar>
              <w:top w:w="70" w:type="dxa"/>
              <w:bottom w:w="70" w:type="dxa"/>
              <w:left w:w="90" w:type="dxa"/>
              <w:right w:w="90" w:type="dxa"/>
            </w:tcMar>
            <w:shd w:fill="F7F7F7"/>
          </w:tcPr>
          <w:p>
            <w:pPr>
              <w:spacing w:before="20" w:after="20" w:line="276" w:lineRule="auto"/>
              <w:jc w:val="center"/>
            </w:pPr>
            <w:r>
              <w:rPr>
                <w:rFonts w:ascii="Times New Roman" w:hAnsi="Times New Roman" w:eastAsia="宋体"/>
                <w:b w:val="0"/>
                <w:color w:val="000000"/>
                <w:sz w:val="18"/>
              </w:rPr>
              <w:t>NFR04 构建与部署</w:t>
            </w:r>
          </w:p>
        </w:tc>
        <w:tc>
          <w:tcPr>
            <w:tcW w:type="dxa" w:w="3009"/>
            <w:vAlign w:val="center"/>
            <w:tcMar>
              <w:top w:w="70" w:type="dxa"/>
              <w:bottom w:w="70" w:type="dxa"/>
              <w:left w:w="90" w:type="dxa"/>
              <w:right w:w="90" w:type="dxa"/>
            </w:tcMar>
            <w:shd w:fill="F7F7F7"/>
          </w:tcPr>
          <w:p>
            <w:pPr>
              <w:spacing w:before="20" w:after="20" w:line="276" w:lineRule="auto"/>
            </w:pPr>
            <w:r>
              <w:rPr>
                <w:rFonts w:ascii="Times New Roman" w:hAnsi="Times New Roman" w:eastAsia="宋体"/>
                <w:b w:val="0"/>
                <w:color w:val="000000"/>
                <w:sz w:val="18"/>
              </w:rPr>
              <w:t>支持前端 Vue 静态资源一键集成打包至 Spring Boot 可执行 Fat-JAR，支持全平台独立部署，依赖版本零污染。</w:t>
            </w:r>
          </w:p>
        </w:tc>
        <w:tc>
          <w:tcPr>
            <w:tcW w:type="dxa" w:w="3009"/>
            <w:vAlign w:val="center"/>
            <w:tcMar>
              <w:top w:w="70" w:type="dxa"/>
              <w:bottom w:w="70" w:type="dxa"/>
              <w:left w:w="90" w:type="dxa"/>
              <w:right w:w="90" w:type="dxa"/>
            </w:tcMar>
            <w:shd w:fill="F7F7F7"/>
          </w:tcPr>
          <w:p>
            <w:pPr>
              <w:spacing w:before="20" w:after="20" w:line="276" w:lineRule="auto"/>
            </w:pPr>
            <w:r>
              <w:rPr>
                <w:rFonts w:ascii="Times New Roman" w:hAnsi="Times New Roman" w:eastAsia="宋体"/>
                <w:b w:val="0"/>
                <w:color w:val="000000"/>
                <w:sz w:val="18"/>
              </w:rPr>
              <w:t>通过自动化打包脚本 scripts/build.ps1 执行验证，确保 JAR 文件独立平稳运行。</w:t>
            </w:r>
          </w:p>
        </w:tc>
      </w:tr>
      <w:tr>
        <w:trPr>
          <w:cantSplit/>
        </w:trPr>
        <w:tc>
          <w:tcPr>
            <w:tcW w:type="dxa" w:w="3009"/>
            <w:vAlign w:val="center"/>
            <w:tcMar>
              <w:top w:w="70" w:type="dxa"/>
              <w:bottom w:w="70" w:type="dxa"/>
              <w:left w:w="90" w:type="dxa"/>
              <w:right w:w="90" w:type="dxa"/>
            </w:tcMar>
          </w:tcPr>
          <w:p>
            <w:pPr>
              <w:spacing w:before="20" w:after="20" w:line="276" w:lineRule="auto"/>
              <w:jc w:val="center"/>
            </w:pPr>
            <w:r>
              <w:rPr>
                <w:rFonts w:ascii="Times New Roman" w:hAnsi="Times New Roman" w:eastAsia="宋体"/>
                <w:b w:val="0"/>
                <w:color w:val="000000"/>
                <w:sz w:val="18"/>
              </w:rPr>
              <w:t>NFR05 交互与自适应</w:t>
            </w:r>
          </w:p>
        </w:tc>
        <w:tc>
          <w:tcPr>
            <w:tcW w:type="dxa" w:w="3009"/>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前端界面自适应适配 1440px 桌面宽屏及 390px 移动窄屏，表格支持局部滚动，大屏图表自适应缩放。</w:t>
            </w:r>
          </w:p>
        </w:tc>
        <w:tc>
          <w:tcPr>
            <w:tcW w:type="dxa" w:w="3009"/>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通过 Chrome 浏览器自动化测试套件（Playwright）进行多分辨率页面渲染检查。</w:t>
            </w:r>
          </w:p>
        </w:tc>
      </w:tr>
    </w:tbl>
    <w:p>
      <w:pPr>
        <w:spacing w:after="0" w:line="324" w:lineRule="auto"/>
        <w:snapToGrid w:val="0"/>
      </w:pPr>
      <w:r>
        <w:rPr>
          <w:rFonts w:ascii="Times New Roman" w:hAnsi="Times New Roman" w:eastAsia="宋体"/>
          <w:color w:val="000000"/>
          <w:sz w:val="4"/>
        </w:rPr>
      </w:r>
    </w:p>
    <w:p>
      <w:pPr>
        <w:pStyle w:val="Heading1"/>
        <w:spacing w:after="140" w:line="324" w:lineRule="auto" w:before="160"/>
        <w:keepNext/>
        <w:snapToGrid w:val="0"/>
      </w:pPr>
      <w:r>
        <w:rPr>
          <w:rFonts w:ascii="Times New Roman" w:hAnsi="Times New Roman" w:eastAsia="黑体"/>
          <w:b/>
          <w:color w:val="000000"/>
          <w:sz w:val="32"/>
        </w:rPr>
        <w:t>9 需求追踪与实现映射</w:t>
      </w:r>
    </w:p>
    <w:p>
      <w:pPr>
        <w:spacing w:after="120" w:line="324" w:lineRule="auto"/>
        <w:snapToGrid w:val="0"/>
      </w:pPr>
      <w:r>
        <w:rPr>
          <w:rFonts w:ascii="Times New Roman" w:hAnsi="Times New Roman" w:eastAsia="宋体"/>
          <w:color w:val="000000"/>
          <w:sz w:val="21"/>
        </w:rPr>
        <w:t>各项功能需求在代码工程中的实现类与自动化验证用例映射矩阵如下：</w:t>
      </w:r>
    </w:p>
    <w:tbl>
      <w:tblPr>
        <w:tblW w:type="auto" w:w="0"/>
        <w:jc w:val="center"/>
        <w:tblLayout w:type="autofit"/>
        <w:tblLook w:firstColumn="1" w:firstRow="1" w:lastColumn="0" w:lastRow="0" w:noHBand="0" w:noVBand="1" w:val="04A0"/>
        <w:tblBorders>
          <w:top w:val="single" w:sz="6" w:color="B7B7B7"/>
          <w:left w:val="single" w:sz="6" w:color="B7B7B7"/>
          <w:bottom w:val="single" w:sz="6" w:color="B7B7B7"/>
          <w:right w:val="single" w:sz="6" w:color="B7B7B7"/>
          <w:insideH w:val="single" w:sz="6" w:color="B7B7B7"/>
          <w:insideV w:val="single" w:sz="6" w:color="B7B7B7"/>
        </w:tblBorders>
      </w:tblPr>
      <w:tblGrid>
        <w:gridCol w:w="3009"/>
        <w:gridCol w:w="3009"/>
        <w:gridCol w:w="3009"/>
      </w:tblGrid>
      <w:tr>
        <w:trPr>
          <w:cantSplit/>
          <w:tblHeader/>
        </w:trPr>
        <w:tc>
          <w:tcPr>
            <w:tcW w:type="dxa" w:w="3009"/>
            <w:vAlign w:val="center"/>
            <w:tcMar>
              <w:top w:w="70" w:type="dxa"/>
              <w:bottom w:w="70" w:type="dxa"/>
              <w:left w:w="90" w:type="dxa"/>
              <w:right w:w="90" w:type="dxa"/>
            </w:tcMar>
            <w:shd w:fill="D9D9D9"/>
          </w:tcPr>
          <w:p>
            <w:pPr>
              <w:spacing w:before="20" w:after="20" w:line="276" w:lineRule="auto"/>
              <w:jc w:val="center"/>
            </w:pPr>
            <w:r>
              <w:rPr>
                <w:rFonts w:ascii="Times New Roman" w:hAnsi="Times New Roman" w:eastAsia="黑体"/>
                <w:b/>
                <w:color w:val="000000"/>
                <w:sz w:val="18"/>
              </w:rPr>
              <w:t>需求编号</w:t>
            </w:r>
          </w:p>
        </w:tc>
        <w:tc>
          <w:tcPr>
            <w:tcW w:type="dxa" w:w="3009"/>
            <w:vAlign w:val="center"/>
            <w:tcMar>
              <w:top w:w="70" w:type="dxa"/>
              <w:bottom w:w="70" w:type="dxa"/>
              <w:left w:w="90" w:type="dxa"/>
              <w:right w:w="90" w:type="dxa"/>
            </w:tcMar>
            <w:shd w:fill="D9D9D9"/>
          </w:tcPr>
          <w:p>
            <w:pPr>
              <w:spacing w:before="20" w:after="20" w:line="276" w:lineRule="auto"/>
            </w:pPr>
            <w:r>
              <w:rPr>
                <w:rFonts w:ascii="Times New Roman" w:hAnsi="Times New Roman" w:eastAsia="黑体"/>
                <w:b/>
                <w:color w:val="000000"/>
                <w:sz w:val="18"/>
              </w:rPr>
              <w:t>后端服务与前端实现组件</w:t>
            </w:r>
          </w:p>
        </w:tc>
        <w:tc>
          <w:tcPr>
            <w:tcW w:type="dxa" w:w="3009"/>
            <w:vAlign w:val="center"/>
            <w:tcMar>
              <w:top w:w="70" w:type="dxa"/>
              <w:bottom w:w="70" w:type="dxa"/>
              <w:left w:w="90" w:type="dxa"/>
              <w:right w:w="90" w:type="dxa"/>
            </w:tcMar>
            <w:shd w:fill="D9D9D9"/>
          </w:tcPr>
          <w:p>
            <w:pPr>
              <w:spacing w:before="20" w:after="20" w:line="276" w:lineRule="auto"/>
            </w:pPr>
            <w:r>
              <w:rPr>
                <w:rFonts w:ascii="Times New Roman" w:hAnsi="Times New Roman" w:eastAsia="黑体"/>
                <w:b/>
                <w:color w:val="000000"/>
                <w:sz w:val="18"/>
              </w:rPr>
              <w:t>自动化测试用例集</w:t>
            </w:r>
          </w:p>
        </w:tc>
      </w:tr>
      <w:tr>
        <w:trPr>
          <w:cantSplit/>
        </w:trPr>
        <w:tc>
          <w:tcPr>
            <w:tcW w:type="dxa" w:w="3009"/>
            <w:vAlign w:val="center"/>
            <w:tcMar>
              <w:top w:w="70" w:type="dxa"/>
              <w:bottom w:w="70" w:type="dxa"/>
              <w:left w:w="90" w:type="dxa"/>
              <w:right w:w="90" w:type="dxa"/>
            </w:tcMar>
          </w:tcPr>
          <w:p>
            <w:pPr>
              <w:spacing w:before="20" w:after="20" w:line="276" w:lineRule="auto"/>
              <w:jc w:val="center"/>
            </w:pPr>
            <w:r>
              <w:rPr>
                <w:rFonts w:ascii="Times New Roman" w:hAnsi="Times New Roman" w:eastAsia="宋体"/>
                <w:b w:val="0"/>
                <w:color w:val="000000"/>
                <w:sz w:val="18"/>
              </w:rPr>
              <w:t>FR01</w:t>
            </w:r>
          </w:p>
        </w:tc>
        <w:tc>
          <w:tcPr>
            <w:tcW w:type="dxa" w:w="3009"/>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AuthController、SecurityConfig、UserMapper</w:t>
            </w:r>
          </w:p>
        </w:tc>
        <w:tc>
          <w:tcPr>
            <w:tcW w:type="dxa" w:w="3009"/>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TC01~TC06（认证安全与权限测试）</w:t>
            </w:r>
          </w:p>
        </w:tc>
      </w:tr>
      <w:tr>
        <w:trPr>
          <w:cantSplit/>
        </w:trPr>
        <w:tc>
          <w:tcPr>
            <w:tcW w:type="dxa" w:w="3009"/>
            <w:vAlign w:val="center"/>
            <w:tcMar>
              <w:top w:w="70" w:type="dxa"/>
              <w:bottom w:w="70" w:type="dxa"/>
              <w:left w:w="90" w:type="dxa"/>
              <w:right w:w="90" w:type="dxa"/>
            </w:tcMar>
            <w:shd w:fill="F7F7F7"/>
          </w:tcPr>
          <w:p>
            <w:pPr>
              <w:spacing w:before="20" w:after="20" w:line="276" w:lineRule="auto"/>
              <w:jc w:val="center"/>
            </w:pPr>
            <w:r>
              <w:rPr>
                <w:rFonts w:ascii="Times New Roman" w:hAnsi="Times New Roman" w:eastAsia="宋体"/>
                <w:b w:val="0"/>
                <w:color w:val="000000"/>
                <w:sz w:val="18"/>
              </w:rPr>
              <w:t>FR02~FR05</w:t>
            </w:r>
          </w:p>
        </w:tc>
        <w:tc>
          <w:tcPr>
            <w:tcW w:type="dxa" w:w="3009"/>
            <w:vAlign w:val="center"/>
            <w:tcMar>
              <w:top w:w="70" w:type="dxa"/>
              <w:bottom w:w="70" w:type="dxa"/>
              <w:left w:w="90" w:type="dxa"/>
              <w:right w:w="90" w:type="dxa"/>
            </w:tcMar>
            <w:shd w:fill="F7F7F7"/>
          </w:tcPr>
          <w:p>
            <w:pPr>
              <w:spacing w:before="20" w:after="20" w:line="276" w:lineRule="auto"/>
            </w:pPr>
            <w:r>
              <w:rPr>
                <w:rFonts w:ascii="Times New Roman" w:hAnsi="Times New Roman" w:eastAsia="宋体"/>
                <w:b w:val="0"/>
                <w:color w:val="000000"/>
                <w:sz w:val="18"/>
              </w:rPr>
              <w:t>CareService、StatisticsService、App.vue、HealthView.vue</w:t>
            </w:r>
          </w:p>
        </w:tc>
        <w:tc>
          <w:tcPr>
            <w:tcW w:type="dxa" w:w="3009"/>
            <w:vAlign w:val="center"/>
            <w:tcMar>
              <w:top w:w="70" w:type="dxa"/>
              <w:bottom w:w="70" w:type="dxa"/>
              <w:left w:w="90" w:type="dxa"/>
              <w:right w:w="90" w:type="dxa"/>
            </w:tcMar>
            <w:shd w:fill="F7F7F7"/>
          </w:tcPr>
          <w:p>
            <w:pPr>
              <w:spacing w:before="20" w:after="20" w:line="276" w:lineRule="auto"/>
            </w:pPr>
            <w:r>
              <w:rPr>
                <w:rFonts w:ascii="Times New Roman" w:hAnsi="Times New Roman" w:eastAsia="宋体"/>
                <w:b w:val="0"/>
                <w:color w:val="000000"/>
                <w:sz w:val="18"/>
              </w:rPr>
              <w:t>TC07~TC13、TC21~TC22、RESTful 冒烟</w:t>
            </w:r>
          </w:p>
        </w:tc>
      </w:tr>
      <w:tr>
        <w:trPr>
          <w:cantSplit/>
        </w:trPr>
        <w:tc>
          <w:tcPr>
            <w:tcW w:type="dxa" w:w="3009"/>
            <w:vAlign w:val="center"/>
            <w:tcMar>
              <w:top w:w="70" w:type="dxa"/>
              <w:bottom w:w="70" w:type="dxa"/>
              <w:left w:w="90" w:type="dxa"/>
              <w:right w:w="90" w:type="dxa"/>
            </w:tcMar>
          </w:tcPr>
          <w:p>
            <w:pPr>
              <w:spacing w:before="20" w:after="20" w:line="276" w:lineRule="auto"/>
              <w:jc w:val="center"/>
            </w:pPr>
            <w:r>
              <w:rPr>
                <w:rFonts w:ascii="Times New Roman" w:hAnsi="Times New Roman" w:eastAsia="宋体"/>
                <w:b w:val="0"/>
                <w:color w:val="000000"/>
                <w:sz w:val="18"/>
              </w:rPr>
              <w:t>FR06~FR08</w:t>
            </w:r>
          </w:p>
        </w:tc>
        <w:tc>
          <w:tcPr>
            <w:tcW w:type="dxa" w:w="3009"/>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GeoService、DeviceController、GeoCanvas.vue、TrajectoryView.vue</w:t>
            </w:r>
          </w:p>
        </w:tc>
        <w:tc>
          <w:tcPr>
            <w:tcW w:type="dxa" w:w="3009"/>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TC14~TC20、TC22、浏览器自动化验收</w:t>
            </w:r>
          </w:p>
        </w:tc>
      </w:tr>
      <w:tr>
        <w:trPr>
          <w:cantSplit/>
        </w:trPr>
        <w:tc>
          <w:tcPr>
            <w:tcW w:type="dxa" w:w="3009"/>
            <w:vAlign w:val="center"/>
            <w:tcMar>
              <w:top w:w="70" w:type="dxa"/>
              <w:bottom w:w="70" w:type="dxa"/>
              <w:left w:w="90" w:type="dxa"/>
              <w:right w:w="90" w:type="dxa"/>
            </w:tcMar>
            <w:shd w:fill="F7F7F7"/>
          </w:tcPr>
          <w:p>
            <w:pPr>
              <w:spacing w:before="20" w:after="20" w:line="276" w:lineRule="auto"/>
              <w:jc w:val="center"/>
            </w:pPr>
            <w:r>
              <w:rPr>
                <w:rFonts w:ascii="Times New Roman" w:hAnsi="Times New Roman" w:eastAsia="宋体"/>
                <w:b w:val="0"/>
                <w:color w:val="000000"/>
                <w:sz w:val="18"/>
              </w:rPr>
              <w:t>FR09~FR10</w:t>
            </w:r>
          </w:p>
        </w:tc>
        <w:tc>
          <w:tcPr>
            <w:tcW w:type="dxa" w:w="3009"/>
            <w:vAlign w:val="center"/>
            <w:tcMar>
              <w:top w:w="70" w:type="dxa"/>
              <w:bottom w:w="70" w:type="dxa"/>
              <w:left w:w="90" w:type="dxa"/>
              <w:right w:w="90" w:type="dxa"/>
            </w:tcMar>
            <w:shd w:fill="F7F7F7"/>
          </w:tcPr>
          <w:p>
            <w:pPr>
              <w:spacing w:before="20" w:after="20" w:line="276" w:lineRule="auto"/>
            </w:pPr>
            <w:r>
              <w:rPr>
                <w:rFonts w:ascii="Times New Roman" w:hAnsi="Times New Roman" w:eastAsia="宋体"/>
                <w:b w:val="0"/>
                <w:color w:val="000000"/>
                <w:sz w:val="18"/>
              </w:rPr>
              <w:t>DeviceIngestController、DeviceAccessService、SimulationPanel.vue</w:t>
            </w:r>
          </w:p>
        </w:tc>
        <w:tc>
          <w:tcPr>
            <w:tcW w:type="dxa" w:w="3009"/>
            <w:vAlign w:val="center"/>
            <w:tcMar>
              <w:top w:w="70" w:type="dxa"/>
              <w:bottom w:w="70" w:type="dxa"/>
              <w:left w:w="90" w:type="dxa"/>
              <w:right w:w="90" w:type="dxa"/>
            </w:tcMar>
            <w:shd w:fill="F7F7F7"/>
          </w:tcPr>
          <w:p>
            <w:pPr>
              <w:spacing w:before="20" w:after="20" w:line="276" w:lineRule="auto"/>
            </w:pPr>
            <w:r>
              <w:rPr>
                <w:rFonts w:ascii="Times New Roman" w:hAnsi="Times New Roman" w:eastAsia="宋体"/>
                <w:b w:val="0"/>
                <w:color w:val="000000"/>
                <w:sz w:val="18"/>
              </w:rPr>
              <w:t>TC23~TC28、V1.1 协议集成测试</w:t>
            </w:r>
          </w:p>
        </w:tc>
      </w:tr>
    </w:tbl>
    <w:p>
      <w:pPr>
        <w:spacing w:after="0" w:line="324" w:lineRule="auto"/>
        <w:snapToGrid w:val="0"/>
      </w:pPr>
      <w:r>
        <w:rPr>
          <w:rFonts w:ascii="Times New Roman" w:hAnsi="Times New Roman" w:eastAsia="宋体"/>
          <w:color w:val="000000"/>
          <w:sz w:val="4"/>
        </w:rPr>
      </w:r>
    </w:p>
    <w:sectPr w:rsidR="00FC693F" w:rsidRPr="0006063C" w:rsidSect="00034616">
      <w:footerReference w:type="default" r:id="rId9"/>
      <w:pgSz w:w="11906" w:h="16838"/>
      <w:pgMar w:top="1440" w:right="1440" w:bottom="1440" w:left="1440" w:header="709" w:footer="70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color w:val="666666"/>
        <w:sz w:val="16"/>
      </w:rPr>
      <w:t xml:space="preserve">智慧医养大数据决策分析系统  V1.1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黑体"/>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黑体"/>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300" w:line="240" w:lineRule="auto"/>
      <w:contextualSpacing/>
    </w:pPr>
    <w:rPr>
      <w:rFonts w:asciiTheme="majorHAnsi" w:eastAsiaTheme="majorEastAsia" w:hAnsiTheme="majorHAnsi" w:cstheme="majorBidi" w:ascii="Times New Roman" w:hAnsi="Times New Roman" w:eastAsia="黑体"/>
      <w:b/>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智慧医养大数据决策分析系统 软件需求规范</dc:title>
  <dc:subject>系统功能需求、业务约束、权限矩阵与非功能验收指标说明</dc:subject>
  <dc:creator>软件工程实训项目组</dc:creator>
  <cp:keywords/>
  <dc:description>依据三创谷实训项目规范编制，内容与当前系统代码实现和工程质量证据保持严格一致。</dc:description>
  <cp:lastModifiedBy/>
  <cp:revision>1</cp:revision>
  <dcterms:created xsi:type="dcterms:W3CDTF">2013-12-23T23:15:00Z</dcterms:created>
  <dcterms:modified xsi:type="dcterms:W3CDTF">2013-12-23T23:15:00Z</dcterms:modified>
  <cp:category/>
</cp:coreProperties>
</file>