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417"/>
        <w:gridCol w:w="7483"/>
      </w:tblGrid>
      <w:tr>
        <w:trPr>
          <w:trHeight w:val="12359" w:hRule="exact"/>
        </w:trPr>
        <w:tc>
          <w:tcPr>
            <w:tcW w:type="dxa" w:w="1417"/>
            <w:shd w:fill="D9D9D9"/>
            <w:vAlign w:val="bottom"/>
            <w:tcMar>
              <w:top w:w="100" w:type="dxa"/>
              <w:bottom w:w="160" w:type="dxa"/>
              <w:left w:w="110" w:type="dxa"/>
              <w:right w:w="110" w:type="dxa"/>
            </w:tcMar>
          </w:tcPr>
          <w:p>
            <w:pPr>
              <w:jc w:val="left"/>
            </w:pPr>
            <w:r>
              <w:rPr>
                <w:rFonts w:ascii="Times New Roman" w:hAnsi="Times New Roman" w:eastAsia="宋体"/>
                <w:color w:val="000000"/>
                <w:sz w:val="15"/>
              </w:rPr>
              <w:t>分  类：项目交付文档</w:t>
              <w:br/>
              <w:t>使用者：项目组</w:t>
              <w:br/>
              <w:t>文档编号：</w:t>
              <w:br/>
              <w:t>SC-2026-01-03</w:t>
              <w:br/>
              <w:br/>
              <w:t>软件工程实训项目组</w:t>
            </w:r>
          </w:p>
        </w:tc>
        <w:tc>
          <w:tcPr>
            <w:tcW w:type="dxa" w:w="7483"/>
            <w:vAlign w:val="top"/>
            <w:tcMar>
              <w:top w:w="20" w:type="dxa"/>
              <w:bottom w:w="20" w:type="dxa"/>
              <w:left w:w="240" w:type="dxa"/>
              <w:right w:w="80" w:type="dxa"/>
            </w:tcMar>
          </w:tcPr>
          <w:p>
            <w:pPr>
              <w:spacing w:after="0"/>
            </w:pPr>
          </w:p>
          <w:tbl>
            <w:tblPr>
              <w:tblW w:type="auto" w:w="0"/>
              <w:jc w:val="right"/>
              <w:tblLayout w:type="fixed"/>
              <w:tblLook w:firstColumn="1" w:firstRow="1" w:lastColumn="0" w:lastRow="0" w:noHBand="0" w:noVBand="1" w:val="04A0"/>
              <w:tblBorders>
                <w:top w:val="single" w:sz="5" w:color="8A8A8A"/>
                <w:left w:val="single" w:sz="5" w:color="8A8A8A"/>
                <w:bottom w:val="single" w:sz="5" w:color="8A8A8A"/>
                <w:right w:val="single" w:sz="5" w:color="8A8A8A"/>
                <w:insideH w:val="single" w:sz="5" w:color="8A8A8A"/>
                <w:insideV w:val="single" w:sz="5" w:color="8A8A8A"/>
              </w:tblBorders>
            </w:tblPr>
            <w:tblGrid>
              <w:gridCol w:w="3741"/>
              <w:gridCol w:w="3741"/>
            </w:tblGrid>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  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卷内编号</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r>
              <w:tc>
                <w:tcPr>
                  <w:tcW w:type="dxa" w:w="1191"/>
                  <w:tcMar>
                    <w:top w:w="20" w:type="dxa"/>
                    <w:bottom w:w="20" w:type="dxa"/>
                    <w:left w:w="50" w:type="dxa"/>
                    <w:right w:w="50" w:type="dxa"/>
                  </w:tcMar>
                </w:tcPr>
                <w:p>
                  <w:pPr>
                    <w:jc w:val="center"/>
                  </w:pPr>
                  <w:r>
                    <w:rPr>
                      <w:rFonts w:ascii="Times New Roman" w:hAnsi="Times New Roman" w:eastAsia="宋体"/>
                      <w:b w:val="0"/>
                      <w:color w:val="000000"/>
                      <w:sz w:val="15"/>
                    </w:rPr>
                    <w:t>密  级</w:t>
                  </w:r>
                </w:p>
              </w:tc>
              <w:tc>
                <w:tcPr>
                  <w:tcW w:type="dxa" w:w="2041"/>
                  <w:tcMar>
                    <w:top w:w="20" w:type="dxa"/>
                    <w:bottom w:w="20" w:type="dxa"/>
                    <w:left w:w="50" w:type="dxa"/>
                    <w:right w:w="50" w:type="dxa"/>
                  </w:tcMar>
                </w:tcPr>
                <w:p>
                  <w:pPr>
                    <w:jc w:val="center"/>
                  </w:pPr>
                  <w:r>
                    <w:rPr>
                      <w:rFonts w:ascii="Times New Roman" w:hAnsi="Times New Roman" w:eastAsia="宋体"/>
                      <w:b w:val="0"/>
                      <w:color w:val="000000"/>
                      <w:sz w:val="15"/>
                    </w:rPr>
                  </w:r>
                </w:p>
              </w:tc>
            </w:tr>
          </w:tbl>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120" w:line="324" w:lineRule="auto"/>
              <w:snapToGrid w:val="0"/>
            </w:pPr>
            <w:r>
              <w:rPr>
                <w:rFonts w:ascii="Times New Roman" w:hAnsi="Times New Roman" w:eastAsia="宋体"/>
                <w:color w:val="000000"/>
                <w:sz w:val="8"/>
              </w:rPr>
            </w:r>
          </w:p>
          <w:p>
            <w:pPr>
              <w:spacing w:after="400" w:line="324" w:lineRule="auto"/>
              <w:jc w:val="center"/>
              <w:snapToGrid w:val="0"/>
            </w:pPr>
            <w:r>
              <w:rPr>
                <w:rFonts w:ascii="Times New Roman" w:hAnsi="Times New Roman" w:eastAsia="黑体"/>
                <w:b/>
                <w:color w:val="000000"/>
                <w:sz w:val="38"/>
              </w:rPr>
              <w:t>智慧医养大数据公共服务平台</w:t>
            </w:r>
            <w:r>
              <w:br/>
            </w:r>
            <w:r>
              <w:rPr>
                <w:rFonts w:ascii="Times New Roman" w:hAnsi="Times New Roman" w:eastAsia="黑体"/>
                <w:b/>
                <w:color w:val="000000"/>
                <w:sz w:val="38"/>
              </w:rPr>
              <w:t>大数据决策分析系统</w:t>
            </w:r>
          </w:p>
          <w:p>
            <w:pPr>
              <w:pStyle w:val="Title"/>
              <w:spacing w:after="560" w:line="324" w:lineRule="auto"/>
              <w:jc w:val="center"/>
              <w:snapToGrid w:val="0"/>
            </w:pPr>
            <w:r>
              <w:rPr>
                <w:rFonts w:ascii="Times New Roman" w:hAnsi="Times New Roman" w:eastAsia="黑体"/>
                <w:b/>
                <w:color w:val="000000"/>
                <w:sz w:val="50"/>
              </w:rPr>
              <w:t>测试日志</w:t>
            </w:r>
          </w:p>
          <w:p>
            <w:pPr>
              <w:spacing w:after="160" w:line="324" w:lineRule="auto"/>
              <w:snapToGrid w:val="0"/>
            </w:pPr>
            <w:r>
              <w:rPr>
                <w:rFonts w:ascii="Times New Roman" w:hAnsi="Times New Roman" w:eastAsia="宋体"/>
                <w:color w:val="000000"/>
                <w:sz w:val="21"/>
              </w:rPr>
              <w:t>项 目 承 担 部 门：  软件工程实训项目组</w:t>
            </w:r>
          </w:p>
          <w:p>
            <w:pPr>
              <w:spacing w:after="160" w:line="324" w:lineRule="auto"/>
              <w:snapToGrid w:val="0"/>
            </w:pPr>
            <w:r>
              <w:rPr>
                <w:rFonts w:ascii="Times New Roman" w:hAnsi="Times New Roman" w:eastAsia="宋体"/>
                <w:color w:val="000000"/>
                <w:sz w:val="21"/>
              </w:rPr>
              <w:t>撰 写 人（签名）：  周虹宏汇总，全员执行</w:t>
            </w:r>
          </w:p>
          <w:p>
            <w:pPr>
              <w:spacing w:after="160" w:line="324" w:lineRule="auto"/>
              <w:snapToGrid w:val="0"/>
            </w:pPr>
            <w:r>
              <w:rPr>
                <w:rFonts w:ascii="Times New Roman" w:hAnsi="Times New Roman" w:eastAsia="宋体"/>
                <w:color w:val="000000"/>
                <w:sz w:val="21"/>
              </w:rPr>
              <w:t>完 成 日 期：  2026年9月9日</w:t>
            </w:r>
          </w:p>
          <w:p>
            <w:pPr>
              <w:spacing w:after="160" w:line="324" w:lineRule="auto"/>
              <w:snapToGrid w:val="0"/>
            </w:pPr>
            <w:r>
              <w:rPr>
                <w:rFonts w:ascii="Times New Roman" w:hAnsi="Times New Roman" w:eastAsia="宋体"/>
                <w:color w:val="000000"/>
                <w:sz w:val="21"/>
              </w:rPr>
              <w:t>本文档使用部门：  ■项目组  □主管领导  □维护人员  □用户</w:t>
            </w:r>
          </w:p>
          <w:p>
            <w:pPr>
              <w:spacing w:after="160" w:line="324" w:lineRule="auto"/>
              <w:snapToGrid w:val="0"/>
            </w:pPr>
            <w:r>
              <w:rPr>
                <w:rFonts w:ascii="Times New Roman" w:hAnsi="Times New Roman" w:eastAsia="宋体"/>
                <w:color w:val="000000"/>
                <w:sz w:val="21"/>
              </w:rPr>
              <w:t>评审负责人（签名）：  周虹宏</w:t>
            </w:r>
          </w:p>
          <w:p>
            <w:pPr>
              <w:spacing w:after="160" w:line="324" w:lineRule="auto"/>
              <w:snapToGrid w:val="0"/>
            </w:pPr>
            <w:r>
              <w:rPr>
                <w:rFonts w:ascii="Times New Roman" w:hAnsi="Times New Roman" w:eastAsia="宋体"/>
                <w:color w:val="000000"/>
                <w:sz w:val="21"/>
              </w:rPr>
              <w:t>评 审 日 期：  2026年9月9日</w:t>
            </w:r>
          </w:p>
        </w:tc>
      </w:tr>
    </w:tbl>
    <w:p>
      <w:r>
        <w:br w:type="page"/>
      </w:r>
    </w:p>
    <w:p>
      <w:pPr>
        <w:pStyle w:val="Heading1"/>
        <w:spacing w:after="280" w:line="324" w:lineRule="auto"/>
        <w:jc w:val="center"/>
        <w:snapToGrid w:val="0"/>
      </w:pPr>
      <w:r>
        <w:rPr>
          <w:rFonts w:ascii="Times New Roman" w:hAnsi="Times New Roman" w:eastAsia="黑体"/>
          <w:b/>
          <w:color w:val="000000"/>
          <w:sz w:val="32"/>
        </w:rPr>
        <w:t>文档信息</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4513"/>
        <w:gridCol w:w="4513"/>
      </w:tblGrid>
      <w:tr>
        <w:trPr>
          <w:cantSplit/>
          <w:tblHeader/>
        </w:trPr>
        <w:tc>
          <w:tcPr>
            <w:tcW w:type="dxa" w:w="4513"/>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文档信息</w:t>
            </w:r>
          </w:p>
        </w:tc>
        <w:tc>
          <w:tcPr>
            <w:tcW w:type="dxa" w:w="4513"/>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内容</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标题</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智慧医养大数据决策分析系统 测试日志</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作者</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周虹宏汇总，全员执行</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创建日期</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上次更新日期</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2026年9月9日</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版本</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r>
      <w:tr>
        <w:trPr>
          <w:cantSplit/>
        </w:trPr>
        <w:tc>
          <w:tcPr>
            <w:tcW w:type="dxa" w:w="4513"/>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部门名称</w:t>
            </w:r>
          </w:p>
        </w:tc>
        <w:tc>
          <w:tcPr>
            <w:tcW w:type="dxa" w:w="4513"/>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软件工程实训项目组</w:t>
            </w:r>
          </w:p>
        </w:tc>
      </w:tr>
      <w:tr>
        <w:trPr>
          <w:cantSplit/>
        </w:trPr>
        <w:tc>
          <w:tcPr>
            <w:tcW w:type="dxa" w:w="4513"/>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适用范围</w:t>
            </w:r>
          </w:p>
        </w:tc>
        <w:tc>
          <w:tcPr>
            <w:tcW w:type="dxa" w:w="4513"/>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记录项目构建、单元测试、接口冒烟、缺陷回归及性能压测全流程质量日志</w:t>
            </w:r>
          </w:p>
        </w:tc>
      </w:tr>
    </w:tbl>
    <w:p>
      <w:pPr>
        <w:spacing w:after="0" w:line="324" w:lineRule="auto"/>
        <w:snapToGrid w:val="0"/>
      </w:pPr>
      <w:r>
        <w:rPr>
          <w:rFonts w:ascii="Times New Roman" w:hAnsi="Times New Roman" w:eastAsia="宋体"/>
          <w:color w:val="000000"/>
          <w:sz w:val="4"/>
        </w:rPr>
      </w:r>
    </w:p>
    <w:p>
      <w:pPr>
        <w:pStyle w:val="Heading1"/>
        <w:spacing w:after="120" w:line="324" w:lineRule="auto" w:before="360"/>
        <w:jc w:val="center"/>
        <w:snapToGrid w:val="0"/>
      </w:pPr>
      <w:r>
        <w:rPr>
          <w:rFonts w:ascii="Times New Roman" w:hAnsi="Times New Roman" w:eastAsia="黑体"/>
          <w:b/>
          <w:color w:val="000000"/>
          <w:sz w:val="32"/>
        </w:rPr>
        <w:t>修订文档历史记录</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日期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版本</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说明</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作者</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2026年9月9日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V1.1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按照三创谷实训项目交付规范编制，经全员交叉评审并与实际系统代码验证基线同步</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软件工程实训项目组</w:t>
            </w:r>
          </w:p>
        </w:tc>
      </w:tr>
    </w:tbl>
    <w:p>
      <w:pPr>
        <w:spacing w:after="0" w:line="324" w:lineRule="auto"/>
        <w:snapToGrid w:val="0"/>
      </w:pPr>
      <w:r>
        <w:rPr>
          <w:rFonts w:ascii="Times New Roman" w:hAnsi="Times New Roman" w:eastAsia="宋体"/>
          <w:color w:val="000000"/>
          <w:sz w:val="4"/>
        </w:rPr>
      </w:r>
    </w:p>
    <w:p>
      <w:r>
        <w:br w:type="page"/>
      </w:r>
    </w:p>
    <w:p>
      <w:pPr>
        <w:pStyle w:val="Heading1"/>
        <w:spacing w:after="280" w:line="324" w:lineRule="auto"/>
        <w:jc w:val="center"/>
        <w:snapToGrid w:val="0"/>
      </w:pPr>
      <w:r>
        <w:rPr>
          <w:rFonts w:ascii="Times New Roman" w:hAnsi="Times New Roman" w:eastAsia="黑体"/>
          <w:b/>
          <w:color w:val="000000"/>
          <w:sz w:val="32"/>
        </w:rPr>
        <w:t>目  录</w:t>
      </w:r>
    </w:p>
    <w:p>
      <w:pPr>
        <w:spacing w:after="80" w:line="324" w:lineRule="auto"/>
        <w:snapToGrid w:val="0"/>
        <w:ind w:left="0"/>
      </w:pPr>
      <w:r>
        <w:rPr>
          <w:rFonts w:ascii="Times New Roman" w:hAnsi="Times New Roman" w:eastAsia="宋体"/>
          <w:color w:val="000000"/>
          <w:sz w:val="21"/>
        </w:rPr>
        <w:t>1 测试环境基线与执行概述</w:t>
      </w:r>
    </w:p>
    <w:p>
      <w:pPr>
        <w:spacing w:after="80" w:line="324" w:lineRule="auto"/>
        <w:snapToGrid w:val="0"/>
        <w:ind w:left="0"/>
      </w:pPr>
      <w:r>
        <w:rPr>
          <w:rFonts w:ascii="Times New Roman" w:hAnsi="Times New Roman" w:eastAsia="宋体"/>
          <w:color w:val="000000"/>
          <w:sz w:val="21"/>
        </w:rPr>
        <w:t>2 自动化功能与集成测试执行记录（JUnit 5）</w:t>
      </w:r>
    </w:p>
    <w:p>
      <w:pPr>
        <w:spacing w:after="80" w:line="324" w:lineRule="auto"/>
        <w:snapToGrid w:val="0"/>
        <w:ind w:left="0"/>
      </w:pPr>
      <w:r>
        <w:rPr>
          <w:rFonts w:ascii="Times New Roman" w:hAnsi="Times New Roman" w:eastAsia="宋体"/>
          <w:color w:val="000000"/>
          <w:sz w:val="21"/>
        </w:rPr>
        <w:t>3 典型缺陷跟踪、定位复盘与闭环记录（D01~D03）</w:t>
      </w:r>
    </w:p>
    <w:p>
      <w:pPr>
        <w:spacing w:after="80" w:line="324" w:lineRule="auto"/>
        <w:snapToGrid w:val="0"/>
        <w:ind w:left="0"/>
      </w:pPr>
      <w:r>
        <w:rPr>
          <w:rFonts w:ascii="Times New Roman" w:hAnsi="Times New Roman" w:eastAsia="宋体"/>
          <w:color w:val="000000"/>
          <w:sz w:val="21"/>
        </w:rPr>
        <w:t>4 真实 MySQL 环境 RESTful 接口冒烟测试</w:t>
      </w:r>
    </w:p>
    <w:p>
      <w:pPr>
        <w:spacing w:after="80" w:line="324" w:lineRule="auto"/>
        <w:snapToGrid w:val="0"/>
        <w:ind w:left="0"/>
      </w:pPr>
      <w:r>
        <w:rPr>
          <w:rFonts w:ascii="Times New Roman" w:hAnsi="Times New Roman" w:eastAsia="宋体"/>
          <w:color w:val="000000"/>
          <w:sz w:val="21"/>
        </w:rPr>
        <w:t>5 双十万级数据高并发性能压力测试执行记录</w:t>
      </w:r>
    </w:p>
    <w:p>
      <w:pPr>
        <w:spacing w:after="80" w:line="324" w:lineRule="auto"/>
        <w:snapToGrid w:val="0"/>
        <w:ind w:left="0"/>
      </w:pPr>
      <w:r>
        <w:rPr>
          <w:rFonts w:ascii="Times New Roman" w:hAnsi="Times New Roman" w:eastAsia="宋体"/>
          <w:color w:val="000000"/>
          <w:sz w:val="21"/>
        </w:rPr>
        <w:t>6 测试结论与系统发布准出意见</w:t>
      </w:r>
    </w:p>
    <w:p>
      <w:pPr>
        <w:pStyle w:val="Heading1"/>
        <w:spacing w:after="140" w:line="324" w:lineRule="auto" w:before="160"/>
        <w:keepNext/>
        <w:pageBreakBefore/>
        <w:snapToGrid w:val="0"/>
      </w:pPr>
      <w:r>
        <w:rPr>
          <w:rFonts w:ascii="Times New Roman" w:hAnsi="Times New Roman" w:eastAsia="黑体"/>
          <w:b/>
          <w:color w:val="000000"/>
          <w:sz w:val="32"/>
        </w:rPr>
        <w:t>1 测试环境基线与执行概述</w:t>
      </w:r>
    </w:p>
    <w:p>
      <w:pPr>
        <w:spacing w:after="120" w:line="324" w:lineRule="auto"/>
        <w:snapToGrid w:val="0"/>
      </w:pPr>
      <w:r>
        <w:rPr>
          <w:rFonts w:ascii="Times New Roman" w:hAnsi="Times New Roman" w:eastAsia="宋体"/>
          <w:color w:val="000000"/>
          <w:sz w:val="21"/>
        </w:rPr>
        <w:t>在项目构建与系统质量验证过程中，测试小组严格执行现代软件工程多级测试规范，搭建了规范的自动化测试与联调验证环境：</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3009"/>
        <w:gridCol w:w="3009"/>
        <w:gridCol w:w="3009"/>
      </w:tblGrid>
      <w:tr>
        <w:trPr>
          <w:cantSplit/>
          <w:tblHeader/>
        </w:trPr>
        <w:tc>
          <w:tcPr>
            <w:tcW w:type="dxa" w:w="3009"/>
            <w:vAlign w:val="center"/>
            <w:tcMar>
              <w:top w:w="70" w:type="dxa"/>
              <w:bottom w:w="70" w:type="dxa"/>
              <w:left w:w="90" w:type="dxa"/>
              <w:right w:w="90" w:type="dxa"/>
            </w:tcMar>
            <w:shd w:fill="D9D9D9"/>
          </w:tcPr>
          <w:p>
            <w:pPr>
              <w:spacing w:before="20" w:after="20" w:line="276" w:lineRule="auto"/>
              <w:jc w:val="center"/>
            </w:pPr>
            <w:r>
              <w:rPr>
                <w:rFonts w:ascii="Times New Roman" w:hAnsi="Times New Roman" w:eastAsia="黑体"/>
                <w:b/>
                <w:color w:val="000000"/>
                <w:sz w:val="18"/>
              </w:rPr>
              <w:t>测试环境维度</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环境配置基线</w:t>
            </w:r>
          </w:p>
        </w:tc>
        <w:tc>
          <w:tcPr>
            <w:tcW w:type="dxa" w:w="3009"/>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运行状态与验证说明</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操作系统</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Windows 11 x86_64 企业级开发基线</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全套脚本与服务运行稳定</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开发与编译环境</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Java 17（Eclipse Adoptium Temurin 17.0.12）</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Maven 编译 0 错误 0 警告</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关系型数据库</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MySQL 8.0.46 Community Server</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全套 18 张表结构完整加载</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内存测试库</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H2 In-Memory Database 2.3 系列</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用于 JUnit 5 事务级独立回滚自动化测试</w:t>
            </w:r>
          </w:p>
        </w:tc>
      </w:tr>
      <w:tr>
        <w:trPr>
          <w:cantSplit/>
        </w:trPr>
        <w:tc>
          <w:tcPr>
            <w:tcW w:type="dxa" w:w="3009"/>
            <w:vAlign w:val="center"/>
            <w:tcMar>
              <w:top w:w="70" w:type="dxa"/>
              <w:bottom w:w="70" w:type="dxa"/>
              <w:left w:w="90" w:type="dxa"/>
              <w:right w:w="90" w:type="dxa"/>
            </w:tcMar>
          </w:tcPr>
          <w:p>
            <w:pPr>
              <w:spacing w:before="20" w:after="20" w:line="276" w:lineRule="auto"/>
              <w:jc w:val="center"/>
            </w:pPr>
            <w:r>
              <w:rPr>
                <w:rFonts w:ascii="Times New Roman" w:hAnsi="Times New Roman" w:eastAsia="宋体"/>
                <w:b w:val="0"/>
                <w:color w:val="000000"/>
                <w:sz w:val="18"/>
              </w:rPr>
              <w:t>前端执行环境</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Node.js 22.12.0；Vite 7.3.6；Chrome 152</w:t>
            </w:r>
          </w:p>
        </w:tc>
        <w:tc>
          <w:tcPr>
            <w:tcW w:type="dxa" w:w="3009"/>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前端资源构建与端端验收顺利通过</w:t>
            </w:r>
          </w:p>
        </w:tc>
      </w:tr>
      <w:tr>
        <w:trPr>
          <w:cantSplit/>
        </w:trPr>
        <w:tc>
          <w:tcPr>
            <w:tcW w:type="dxa" w:w="3009"/>
            <w:vAlign w:val="center"/>
            <w:tcMar>
              <w:top w:w="70" w:type="dxa"/>
              <w:bottom w:w="70" w:type="dxa"/>
              <w:left w:w="90" w:type="dxa"/>
              <w:right w:w="90" w:type="dxa"/>
            </w:tcMar>
            <w:shd w:fill="F7F7F7"/>
          </w:tcPr>
          <w:p>
            <w:pPr>
              <w:spacing w:before="20" w:after="20" w:line="276" w:lineRule="auto"/>
              <w:jc w:val="center"/>
            </w:pPr>
            <w:r>
              <w:rPr>
                <w:rFonts w:ascii="Times New Roman" w:hAnsi="Times New Roman" w:eastAsia="宋体"/>
                <w:b w:val="0"/>
                <w:color w:val="000000"/>
                <w:sz w:val="18"/>
              </w:rPr>
              <w:t>自动化测试框架</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JUnit Jupiter 5.12.2；Spring Boot Test Starter</w:t>
            </w:r>
          </w:p>
        </w:tc>
        <w:tc>
          <w:tcPr>
            <w:tcW w:type="dxa" w:w="3009"/>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28 项业务集成用例全部通过，执行耗时 3.42s</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2 自动化功能与集成测试执行记录（JUnit 5）</w:t>
      </w:r>
    </w:p>
    <w:p>
      <w:pPr>
        <w:spacing w:after="120" w:line="324" w:lineRule="auto"/>
        <w:snapToGrid w:val="0"/>
      </w:pPr>
      <w:r>
        <w:rPr>
          <w:rFonts w:ascii="Times New Roman" w:hAnsi="Times New Roman" w:eastAsia="宋体"/>
          <w:color w:val="000000"/>
          <w:sz w:val="21"/>
        </w:rPr>
        <w:t>项目组在 BusinessTests.java 中编写了 28 项严密的自动化集成测试用例，涵盖身份安全、档案业务、空间围栏、轨迹防抖及接口幂等性，全量执行记录如下：</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测试用例编号</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测试功能域</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测试方法与断言内容</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执行结果</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TC01~TC06</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安全鉴权与RBAC</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验证未认证拦截(401)、密码校验、Session销毁、CSRF拦截、角色降权即时失效及最后管理员防删</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100% 通过（6/6）</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TC07~TC09</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档案管理与并发</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验证超大分页约束(400)、未知信息容错统计、老人档案基于 version 乐观锁并发冲突拦截(409)</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100% 通过（3/3）</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TC10~TC13</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健康与随访履约</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验证体检次数与去重人数统计、非法指标与未来时间拦截、随访计划单次履约原子性及空计划零分母</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100% 通过（4/4）</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TC14~TC20</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设备绑定与空间围栏</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验证防重复绑定、越界生命周期防抖动(单次告警)、时序乱序去重、轨迹24h约束及换绑责任溯源</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100% 通过（7/7）</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TC21~TC22</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大盘统计与距离算法</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验证决策大盘跨表聚合响应契约、Haversine 球面距离数学计算精度(赤道1度=111.19km)</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100% 通过（2/2）</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TC23~TC28</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设备接入与受限删除</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验证心跳幂等性、批量GPS定位注入、误录档案受限物理删除、X-Device-Key接入认证及Profile边界</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100% 通过（6/6）</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pageBreakBefore/>
        <w:snapToGrid w:val="0"/>
      </w:pPr>
      <w:r>
        <w:rPr>
          <w:rFonts w:ascii="Times New Roman" w:hAnsi="Times New Roman" w:eastAsia="黑体"/>
          <w:b/>
          <w:color w:val="000000"/>
          <w:sz w:val="32"/>
        </w:rPr>
        <w:t>3 典型缺陷跟踪、定位复盘与闭环记录（D01~D03）</w:t>
      </w:r>
    </w:p>
    <w:p>
      <w:pPr>
        <w:spacing w:after="120" w:line="324" w:lineRule="auto"/>
        <w:snapToGrid w:val="0"/>
      </w:pPr>
      <w:r>
        <w:rPr>
          <w:rFonts w:ascii="Times New Roman" w:hAnsi="Times New Roman" w:eastAsia="宋体"/>
          <w:color w:val="000000"/>
          <w:sz w:val="21"/>
        </w:rPr>
        <w:t>在系统迭代与深度联调过程中，测试团队与开发人员紧密协同，重点攻克并闭环复盘了三起典型深层次工程技术缺陷：</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2256"/>
        <w:gridCol w:w="2256"/>
        <w:gridCol w:w="2256"/>
        <w:gridCol w:w="2256"/>
      </w:tblGrid>
      <w:tr>
        <w:trPr>
          <w:cantSplit/>
          <w:tblHeader/>
        </w:trPr>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缺陷编号</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缺陷现象与严重度</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根因定位分析</w:t>
            </w:r>
          </w:p>
        </w:tc>
        <w:tc>
          <w:tcPr>
            <w:tcW w:type="dxa" w:w="2256"/>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修复措施与回归验证结论</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D01</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MySQL 数据库保留字与动态 SQL 执行冲突（严重）</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在健康统计模块中，部分 SQL 查询涉及以 rank、order、interval 等作为字段别名，触发 MySQL 8.0 语法解析错误，导致统计接口报 500。</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统一在 MyBatis 实体字段中使用 @TableField 标注明确的反引号转义，并规范化重构动态 SQL；经回归测试，全量复杂聚合统计接口全部恢复正常。</w:t>
            </w:r>
          </w:p>
        </w:tc>
      </w:tr>
      <w:tr>
        <w:trPr>
          <w:cantSplit/>
        </w:trPr>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D02</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高并发下老人档案更新导致脏数据覆盖（严重）</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两名业务人员同时在前端编辑同一位老人的健康档案时，后提交的表单直接无条件覆写了先提交的修改，造成业务数据丢失。</w:t>
            </w:r>
          </w:p>
        </w:tc>
        <w:tc>
          <w:tcPr>
            <w:tcW w:type="dxa" w:w="2256"/>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在 elder 表中引入 version 乐观锁版本号字段，并在 MyBatis-Plus 中配置 OptimisticLockerInnerInterceptor 拦截器；并发冲突时拒绝更新并提示客户端刷新重试，成功消除脏写隐患。</w:t>
            </w:r>
          </w:p>
        </w:tc>
      </w:tr>
      <w:tr>
        <w:trPr>
          <w:cantSplit/>
        </w:trPr>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D03</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弱网环境下定位点时序乱序引发告警风暴（重大）</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智能腕表在弱网重连时批量补发迟到历史定位，定位乱序导致围栏状态机频繁在内部与外部之间跳变，引发误报告警风暴。</w:t>
            </w:r>
          </w:p>
        </w:tc>
        <w:tc>
          <w:tcPr>
            <w:tcW w:type="dxa" w:w="2256"/>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对 location_point 增加 (device_id, event_id) 唯一索引；状态机仅在定位时间戳晚于最新时间时推进状态，历史迟到点只归档不推进状态机；经高频乱序用例验证，彻底阻断告警风暴。</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4 真实 MySQL 环境 RESTful 接口冒烟测试</w:t>
      </w:r>
    </w:p>
    <w:p>
      <w:pPr>
        <w:spacing w:after="120" w:line="324" w:lineRule="auto"/>
        <w:snapToGrid w:val="0"/>
      </w:pPr>
      <w:r>
        <w:rPr>
          <w:rFonts w:ascii="Times New Roman" w:hAnsi="Times New Roman" w:eastAsia="宋体"/>
          <w:color w:val="000000"/>
          <w:sz w:val="21"/>
        </w:rPr>
        <w:t>测试小组使用真实 MySQL 实例启动 Spring Boot 服务，对 16 项核心业务 RESTful API 开展全链路冒烟测试。所有端点均满足契约格式，平均响应时间为 124.6ms，HTTP 状态码符合设计预期，冒烟通过率 100%。</w:t>
      </w:r>
    </w:p>
    <w:p>
      <w:pPr>
        <w:pStyle w:val="Heading1"/>
        <w:spacing w:after="140" w:line="324" w:lineRule="auto" w:before="160"/>
        <w:keepNext/>
        <w:pageBreakBefore/>
        <w:snapToGrid w:val="0"/>
      </w:pPr>
      <w:r>
        <w:rPr>
          <w:rFonts w:ascii="Times New Roman" w:hAnsi="Times New Roman" w:eastAsia="黑体"/>
          <w:b/>
          <w:color w:val="000000"/>
          <w:sz w:val="32"/>
        </w:rPr>
        <w:t>5 双十万级数据高并发性能压力测试执行记录</w:t>
      </w:r>
    </w:p>
    <w:p>
      <w:pPr>
        <w:spacing w:after="120" w:line="324" w:lineRule="auto"/>
        <w:snapToGrid w:val="0"/>
      </w:pPr>
      <w:r>
        <w:rPr>
          <w:rFonts w:ascii="Times New Roman" w:hAnsi="Times New Roman" w:eastAsia="宋体"/>
          <w:color w:val="000000"/>
          <w:sz w:val="21"/>
        </w:rPr>
        <w:t>为全面验证系统在真实大型医养机构高负载场景下的吞吐能力与稳定性，测试小组向数据库注入 101,080 条健康检测记录及 100,648 条定位点数据，配置 20 线程并发发起持续 60 秒的性能压力测试，核心端点指标记录如下：</w:t>
      </w:r>
    </w:p>
    <w:tbl>
      <w:tblPr>
        <w:tblW w:type="auto" w:w="0"/>
        <w:jc w:val="center"/>
        <w:tblLayout w:type="autofit"/>
        <w:tblLook w:firstColumn="1" w:firstRow="1" w:lastColumn="0" w:lastRow="0" w:noHBand="0" w:noVBand="1" w:val="04A0"/>
        <w:tblBorders>
          <w:top w:val="single" w:sz="6" w:color="B7B7B7"/>
          <w:left w:val="single" w:sz="6" w:color="B7B7B7"/>
          <w:bottom w:val="single" w:sz="6" w:color="B7B7B7"/>
          <w:right w:val="single" w:sz="6" w:color="B7B7B7"/>
          <w:insideH w:val="single" w:sz="6" w:color="B7B7B7"/>
          <w:insideV w:val="single" w:sz="6" w:color="B7B7B7"/>
        </w:tblBorders>
      </w:tblPr>
      <w:tblGrid>
        <w:gridCol w:w="1504"/>
        <w:gridCol w:w="1504"/>
        <w:gridCol w:w="1504"/>
        <w:gridCol w:w="1504"/>
        <w:gridCol w:w="1504"/>
        <w:gridCol w:w="1504"/>
      </w:tblGrid>
      <w:tr>
        <w:trPr>
          <w:cantSplit/>
          <w:tblHeader/>
        </w:trPr>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测试端点与业务语义</w:t>
            </w:r>
          </w:p>
        </w:tc>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总样本量</w:t>
            </w:r>
          </w:p>
        </w:tc>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平均响应耗时</w:t>
            </w:r>
          </w:p>
        </w:tc>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P95 响应延迟</w:t>
            </w:r>
          </w:p>
        </w:tc>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错误请求数</w:t>
            </w:r>
          </w:p>
        </w:tc>
        <w:tc>
          <w:tcPr>
            <w:tcW w:type="dxa" w:w="1504"/>
            <w:vAlign w:val="center"/>
            <w:tcMar>
              <w:top w:w="70" w:type="dxa"/>
              <w:bottom w:w="70" w:type="dxa"/>
              <w:left w:w="90" w:type="dxa"/>
              <w:right w:w="90" w:type="dxa"/>
            </w:tcMar>
            <w:shd w:fill="D9D9D9"/>
          </w:tcPr>
          <w:p>
            <w:pPr>
              <w:spacing w:before="20" w:after="20" w:line="276" w:lineRule="auto"/>
            </w:pPr>
            <w:r>
              <w:rPr>
                <w:rFonts w:ascii="Times New Roman" w:hAnsi="Times New Roman" w:eastAsia="黑体"/>
                <w:b/>
                <w:color w:val="000000"/>
                <w:sz w:val="18"/>
              </w:rPr>
              <w:t>吞吐量 (QPS)</w:t>
            </w:r>
          </w:p>
        </w:tc>
      </w:tr>
      <w:tr>
        <w:trPr>
          <w:cantSplit/>
        </w:trPr>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/health-records (双十万级健康档案分页检索)</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662 次</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207.61 ms</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363.27 ms</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 次 (0.0%)</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11.03 req/s</w:t>
            </w:r>
          </w:p>
        </w:tc>
      </w:tr>
      <w:tr>
        <w:trPr>
          <w:cantSplit/>
        </w:trPr>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/statistics/health (多维体检异常指标聚合统计)</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665 次</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238.00 ms</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386.37 ms</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 次 (0.0%)</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11.08 req/s</w:t>
            </w:r>
          </w:p>
        </w:tc>
      </w:tr>
      <w:tr>
        <w:trPr>
          <w:cantSplit/>
        </w:trPr>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/dashboard (全机构综合运营决策跨表大盘)</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670 次</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806.21 ms</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1104.80 ms</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0 次 (0.0%)</w:t>
            </w:r>
          </w:p>
        </w:tc>
        <w:tc>
          <w:tcPr>
            <w:tcW w:type="dxa" w:w="1504"/>
            <w:vAlign w:val="center"/>
            <w:tcMar>
              <w:top w:w="70" w:type="dxa"/>
              <w:bottom w:w="70" w:type="dxa"/>
              <w:left w:w="90" w:type="dxa"/>
              <w:right w:w="90" w:type="dxa"/>
            </w:tcMar>
          </w:tcPr>
          <w:p>
            <w:pPr>
              <w:spacing w:before="20" w:after="20" w:line="276" w:lineRule="auto"/>
            </w:pPr>
            <w:r>
              <w:rPr>
                <w:rFonts w:ascii="Times New Roman" w:hAnsi="Times New Roman" w:eastAsia="宋体"/>
                <w:b w:val="0"/>
                <w:color w:val="000000"/>
                <w:sz w:val="18"/>
              </w:rPr>
              <w:t>11.16 req/s</w:t>
            </w:r>
          </w:p>
        </w:tc>
      </w:tr>
      <w:tr>
        <w:trPr>
          <w:cantSplit/>
        </w:trPr>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/devices/distribution (海量穿戴设备分布与状态)</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667 次</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550.53 ms</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744.57 ms</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0 次 (0.0%)</w:t>
            </w:r>
          </w:p>
        </w:tc>
        <w:tc>
          <w:tcPr>
            <w:tcW w:type="dxa" w:w="1504"/>
            <w:vAlign w:val="center"/>
            <w:tcMar>
              <w:top w:w="70" w:type="dxa"/>
              <w:bottom w:w="70" w:type="dxa"/>
              <w:left w:w="90" w:type="dxa"/>
              <w:right w:w="90" w:type="dxa"/>
            </w:tcMar>
            <w:shd w:fill="F7F7F7"/>
          </w:tcPr>
          <w:p>
            <w:pPr>
              <w:spacing w:before="20" w:after="20" w:line="276" w:lineRule="auto"/>
            </w:pPr>
            <w:r>
              <w:rPr>
                <w:rFonts w:ascii="Times New Roman" w:hAnsi="Times New Roman" w:eastAsia="宋体"/>
                <w:b w:val="0"/>
                <w:color w:val="000000"/>
                <w:sz w:val="18"/>
              </w:rPr>
              <w:t>11.11 req/s</w:t>
            </w:r>
          </w:p>
        </w:tc>
      </w:tr>
    </w:tbl>
    <w:p>
      <w:pPr>
        <w:spacing w:after="0" w:line="324" w:lineRule="auto"/>
        <w:snapToGrid w:val="0"/>
      </w:pPr>
      <w:r>
        <w:rPr>
          <w:rFonts w:ascii="Times New Roman" w:hAnsi="Times New Roman" w:eastAsia="宋体"/>
          <w:color w:val="000000"/>
          <w:sz w:val="4"/>
        </w:rPr>
      </w:r>
    </w:p>
    <w:p>
      <w:pPr>
        <w:pStyle w:val="Heading1"/>
        <w:spacing w:after="140" w:line="324" w:lineRule="auto" w:before="160"/>
        <w:keepNext/>
        <w:snapToGrid w:val="0"/>
      </w:pPr>
      <w:r>
        <w:rPr>
          <w:rFonts w:ascii="Times New Roman" w:hAnsi="Times New Roman" w:eastAsia="黑体"/>
          <w:b/>
          <w:color w:val="000000"/>
          <w:sz w:val="32"/>
        </w:rPr>
        <w:t>6 测试结论与系统发布准出意见</w:t>
      </w:r>
    </w:p>
    <w:p>
      <w:pPr>
        <w:spacing w:after="120" w:line="324" w:lineRule="auto"/>
        <w:snapToGrid w:val="0"/>
      </w:pPr>
      <w:r>
        <w:rPr>
          <w:rFonts w:ascii="Times New Roman" w:hAnsi="Times New Roman" w:eastAsia="宋体"/>
          <w:color w:val="000000"/>
          <w:sz w:val="21"/>
        </w:rPr>
        <w:t>经过全流程测试检验，系统 28 项自动化单元与集成测试全通；16 项业务接口冒烟无异常；双十万级高并发负载下 2,664 次请求 0 错误，四核心端点 P95 响应时间均在 1.15 秒以内，大幅优于 2.0 秒的准出要求。系统设计规范、数据完整性约束严密，达到交付与结项准出标准。</w:t>
      </w:r>
    </w:p>
    <w:sectPr w:rsidR="00FC693F" w:rsidRPr="0006063C" w:rsidSect="00034616">
      <w:footerReference w:type="default" r:id="rId9"/>
      <w:pgSz w:w="11906" w:h="16838"/>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666666"/>
        <w:sz w:val="16"/>
      </w:rPr>
      <w:t xml:space="preserve">智慧医养大数据决策分析系统  V1.1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智慧医养大数据决策分析系统 测试日志</dc:title>
  <dc:subject>记录项目构建、单元测试、接口冒烟、缺陷回归及性能压测全流程质量日志</dc:subject>
  <dc:creator>软件工程实训项目组</dc:creator>
  <cp:keywords/>
  <dc:description>依据三创谷实训项目规范编制，内容与当前系统代码实现和工程质量证据保持严格一致。</dc:description>
  <cp:lastModifiedBy/>
  <cp:revision>1</cp:revision>
  <dcterms:created xsi:type="dcterms:W3CDTF">2013-12-23T23:15:00Z</dcterms:created>
  <dcterms:modified xsi:type="dcterms:W3CDTF">2013-12-23T23:15:00Z</dcterms:modified>
  <cp:category/>
</cp:coreProperties>
</file>