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483"/>
      </w:tblGrid>
      <w:tr>
        <w:trPr>
          <w:trHeight w:val="12359" w:hRule="exact"/>
        </w:trPr>
        <w:tc>
          <w:tcPr>
            <w:tcW w:type="dxa" w:w="1417"/>
            <w:shd w:fill="D9D9D9"/>
            <w:vAlign w:val="bottom"/>
            <w:tcMar>
              <w:top w:w="100" w:type="dxa"/>
              <w:bottom w:w="16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color w:val="000000"/>
                <w:sz w:val="15"/>
              </w:rPr>
              <w:t>分  类：项目交付文档</w:t>
              <w:br/>
              <w:t>使用者：项目组</w:t>
              <w:br/>
              <w:t>文档编号：</w:t>
              <w:br/>
              <w:t>SC-2026-01-06</w:t>
              <w:br/>
              <w:br/>
              <w:t>软件工程实训项目组</w:t>
            </w:r>
          </w:p>
        </w:tc>
        <w:tc>
          <w:tcPr>
            <w:tcW w:type="dxa" w:w="7483"/>
            <w:vAlign w:val="top"/>
            <w:tcMar>
              <w:top w:w="20" w:type="dxa"/>
              <w:bottom w:w="20" w:type="dxa"/>
              <w:left w:w="240" w:type="dxa"/>
              <w:right w:w="80" w:type="dxa"/>
            </w:tcMar>
          </w:tcPr>
          <w:p>
            <w:pPr>
              <w:spacing w:after="0"/>
            </w:pPr>
          </w:p>
          <w:tbl>
            <w:tblPr>
              <w:tblW w:type="auto" w:w="0"/>
              <w:jc w:val="right"/>
              <w:tblLayout w:type="fixed"/>
              <w:tblLook w:firstColumn="1" w:firstRow="1" w:lastColumn="0" w:lastRow="0" w:noHBand="0" w:noVBand="1" w:val="04A0"/>
              <w:tblBorders>
                <w:top w:val="single" w:sz="5" w:color="8A8A8A"/>
                <w:left w:val="single" w:sz="5" w:color="8A8A8A"/>
                <w:bottom w:val="single" w:sz="5" w:color="8A8A8A"/>
                <w:right w:val="single" w:sz="5" w:color="8A8A8A"/>
                <w:insideH w:val="single" w:sz="5" w:color="8A8A8A"/>
                <w:insideV w:val="single" w:sz="5" w:color="8A8A8A"/>
              </w:tblBorders>
            </w:tblPr>
            <w:tblGrid>
              <w:gridCol w:w="3741"/>
              <w:gridCol w:w="3741"/>
            </w:tblGrid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  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卷内编号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密  级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</w:tbl>
          <w:p/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40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智慧医养大数据公共服务平台</w:t>
            </w:r>
            <w:r>
              <w:br/>
            </w: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大数据决策分析系统</w:t>
            </w:r>
          </w:p>
          <w:p>
            <w:pPr>
              <w:pStyle w:val="Title"/>
              <w:spacing w:after="56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50"/>
              </w:rPr>
              <w:t>测试计划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项 目 承 担 部 门：  软件工程实训项目组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撰 写 人（签名）：  周虹宏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完 成 日 期：  2026年9月9日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本文档使用部门：  ■项目组  □主管领导  □维护人员  □用户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评审负责人（签名）：  周虹宏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 审 日 期：  2026年9月9日</w:t>
            </w:r>
          </w:p>
        </w:tc>
      </w:tr>
    </w:tbl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文档信息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文档信息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标题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智慧医养大数据决策分析系统 测试计划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作者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周虹宏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创建日期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2026年9月9日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上次更新日期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2026年9月9日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版本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部门名称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软件工程实训项目组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适用范围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规定项目测试范围、软硬件资源、测试执行阶段、准入准出标准及缺陷管理流程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20" w:line="324" w:lineRule="auto" w:before="360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修订文档历史记录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日期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版本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说明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作者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2026年9月9日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按照三创谷实训项目交付规范编制，经全员交叉评审并与实际系统代码验证基线同步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软件工程实训项目组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目  录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1 测试背景与总体质量目标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2 测试范围与技术类型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3 测试阶段划分与严格准入准出标准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4 缺陷等级定义与全生命周期流转机制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5 实训测试进度与日程安排</w:t>
      </w:r>
    </w:p>
    <w:p>
      <w:pPr>
        <w:pStyle w:val="Heading1"/>
        <w:spacing w:after="140" w:line="324" w:lineRule="auto" w:before="160"/>
        <w:keepNext/>
        <w:pageBreakBefore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1 测试背景与总体质量目标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本项目为企业级框架技术开发实训核心成果，系统涉及多角色业务协同、海量高频时空数据处理与并发事务更新。为确保交付成果符合工业级软件工程标准与高校实训考评要求，特制定本测试计划。总体质量目标为：系统功能需求覆盖率 100%，核心业务测试用例通过率 100%，关键业务接口高并发压力测试错误率保持 0.00%，阻断性与严重性技术缺陷完全清零。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2 测试范围与技术类型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测试活动覆盖系统全生命周期，重点划分为六大核心测试类型：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测试类型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测试核心范围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重点关注技术指标与质量属性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单元与集成测试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领域服务类（CareService, GeoService）、安全拦截器与 Mapper 映射器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代码逻辑覆盖率、业务边界异常分支与事务回滚一致性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RESTful 接口冒烟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认证中心、老人档案、健康检测、医生随访、腕表管理等 16 项端点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HTTP 状态码符合契约、JSON 结构完整性、字段脱敏规范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前端界面端端验收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Vue 3 页面渲染、Element Plus 表单校验、GeoCanvas 画布自适应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UI 响应性、控制台 0 报错、多分辨率排版兼容性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高并发性能压测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双十万级背景数据下对首页大盘、健康检测、设备分布发起压测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系统吞吐量（QPS）、平均响应时间、P95 延迟（&lt; 2.0s）、错误率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安全性与权限测试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未认证访问、越权操作、CSRF 跨站请求伪造、弱口令防护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Spring Security 过滤链防护有效性、Session 状态隔离机制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40" w:line="324" w:lineRule="auto" w:before="160"/>
        <w:keepNext/>
        <w:pageBreakBefore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3 测试阶段划分与严格准入准出标准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测试团队严格按照软件工程递进式质量保障规范，设定了清晰的阶段准入门槛与准出指标：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测试阶段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阶段准入门槛条件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阶段质量准出硬性指标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T1 单元逻辑回归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代码全部编译通过，Maven 依赖解析无冲突，H2 测试库就绪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28 项自动化测试用例 100% 通过，0 失败 0 错误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T2 接口联调冒烟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全新 MySQL 8.0 18 张表初始化成功，应用服务平稳启动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16 项业务接口冒烟全部通过，SQL 无方言与保留字错误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T3 界面端端验收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前端生产构建无报错，静态资源与后端成功同源打包集成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12 大业务模块功能正常流转，严重与阻断缺陷完全归零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T4 高并发负载压测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数据库注入 10 万健康记录 + 10 万定位点，测试探针就绪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 并发持续 60 秒，系统错误率 = 0.0%，四端点 P95 &lt; 2.0s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T5 成果交付评审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全套交付物（10 份文档 + 源码 + 演示答辩 PPT）最终冻结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文档与代码完全一致，自动化结构检验 10 份文档 100% 合规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4 缺陷等级定义与全生命周期流转机制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系统缺陷统一纳入《03 系统测试日志》动态台账管理，划分为四级严重程度并实行严格闭环：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缺陷级别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影响范围与严重性定义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处置时限与归宿要求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Fatal（致命）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系统无法启动、数据库死锁崩溃、核心认证彻底瘫痪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立即组织全员排查，阻断后续测试，4 小时内完成修复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Critical（严重）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越权修改数据、乐观锁失效导致脏写覆盖、围栏告警风暴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主责开发工程师当日攻坚闭环，并在测试日志中复盘记录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Major（一般）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图表统计口径微小偏差、非核心分页参数边界未约束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24 小时内完成代码修改并提交回归验证测试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Minor（轻微）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界面文字微小拼写错误、列表自适应局部微小样式偏差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在项目结项收尾阶段统一规范化美化并归档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40" w:line="324" w:lineRule="auto" w:before="160"/>
        <w:keepNext/>
        <w:pageBreakBefore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5 实训测试进度与日程安排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结合三创谷实训基地教学日历（2026年8月31日 - 9月11日），测试工作紧密穿插于开发全周期：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阶段日期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核心测试任务与里程碑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主要责任人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8月31日 - 9月02日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测试环境准备、用例设计规范确立、数据库基础表结构验证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周虹宏、胡吉涵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9月03日 - 9月05日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单元测试用例编制、Spring Security 权限拦截与 MockMvc 验证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周虹宏、钟毓林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9月07日 - 9月08日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真实 MySQL 16 项接口冒烟、自动化测试全量回归（28项全通）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周虹宏、全员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9月09日 - 9月10日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双十万级高并发负载压力测试、D01~D03 缺陷复盘与交付物审查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周虹宏、胡吉涵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9月11日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全系统终验演练、项目结项成果提交与答辩评审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全员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666666"/>
        <w:sz w:val="16"/>
      </w:rPr>
      <w:t xml:space="preserve">智慧医养大数据决策分析系统  V1.1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智慧医养大数据决策分析系统 测试计划</dc:title>
  <dc:subject>规定项目测试范围、软硬件资源、测试执行阶段、准入准出标准及缺陷管理流程</dc:subject>
  <dc:creator>软件工程实训项目组</dc:creator>
  <cp:keywords/>
  <dc:description>依据三创谷实训项目规范编制，内容与当前系统代码实现和工程质量证据保持严格一致。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